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2DDA" w14:textId="2BE09160" w:rsidR="005C266D" w:rsidRPr="00E0331A" w:rsidRDefault="00E0331A" w:rsidP="00E0331A">
      <w:pPr>
        <w:jc w:val="right"/>
        <w:rPr>
          <w:rFonts w:ascii="Arial" w:hAnsi="Arial" w:cs="Arial"/>
          <w:b/>
          <w:bCs/>
        </w:rPr>
      </w:pPr>
      <w:r w:rsidRPr="00E0331A">
        <w:rPr>
          <w:rFonts w:ascii="Arial" w:hAnsi="Arial" w:cs="Arial"/>
          <w:b/>
          <w:bCs/>
        </w:rPr>
        <w:t>V.</w:t>
      </w:r>
    </w:p>
    <w:sdt>
      <w:sdtPr>
        <w:id w:val="432942554"/>
        <w:docPartObj>
          <w:docPartGallery w:val="Cover Pages"/>
          <w:docPartUnique/>
        </w:docPartObj>
      </w:sdtPr>
      <w:sdtEndPr>
        <w:rPr>
          <w:rStyle w:val="Hypertextovodkaz"/>
          <w:noProof/>
          <w:color w:val="0563C1" w:themeColor="hyperlink"/>
          <w:u w:val="single"/>
        </w:rPr>
      </w:sdtEndPr>
      <w:sdtContent>
        <w:p w14:paraId="2710514E" w14:textId="633B96E1" w:rsidR="005C266D" w:rsidRPr="005C266D" w:rsidRDefault="005C266D" w:rsidP="005C266D"/>
        <w:p w14:paraId="380BDCBA" w14:textId="77777777" w:rsidR="005C266D" w:rsidRPr="005C266D" w:rsidRDefault="005C266D" w:rsidP="005C266D">
          <w:pPr>
            <w:rPr>
              <w:rFonts w:asciiTheme="majorHAnsi" w:eastAsiaTheme="majorEastAsia" w:hAnsiTheme="majorHAnsi" w:cstheme="majorBidi"/>
              <w:lang w:eastAsia="cs-CZ"/>
            </w:rPr>
          </w:pPr>
        </w:p>
        <w:p w14:paraId="6930D4CD" w14:textId="77777777" w:rsidR="005C266D" w:rsidRPr="005C266D" w:rsidRDefault="005C266D" w:rsidP="005C266D">
          <w:pPr>
            <w:rPr>
              <w:rFonts w:asciiTheme="majorHAnsi" w:eastAsiaTheme="majorEastAsia" w:hAnsiTheme="majorHAnsi" w:cstheme="majorBidi"/>
              <w:lang w:eastAsia="cs-CZ"/>
            </w:rPr>
          </w:pPr>
        </w:p>
        <w:p w14:paraId="11609FE8" w14:textId="5EECDF6F" w:rsidR="005C266D" w:rsidRPr="005C266D" w:rsidRDefault="005C266D" w:rsidP="005C266D">
          <w:pPr>
            <w:rPr>
              <w:rFonts w:eastAsiaTheme="majorEastAsia" w:cstheme="majorBidi"/>
              <w:b/>
              <w:color w:val="44546A" w:themeColor="text2"/>
              <w:lang w:eastAsia="cs-CZ"/>
            </w:rPr>
          </w:pPr>
          <w:r w:rsidRPr="005C266D">
            <w:rPr>
              <w:rFonts w:eastAsiaTheme="minorEastAsia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6855C61" wp14:editId="1535AAE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28575"/>
                    <wp:wrapNone/>
                    <wp:docPr id="7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30904B8" id="Obdélní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" o:allowincell="f" fillcolor="#376092" strokecolor="#4f81bd">
                    <w10:wrap anchorx="page" anchory="page"/>
                  </v:rect>
                </w:pict>
              </mc:Fallback>
            </mc:AlternateContent>
          </w:r>
          <w:r w:rsidRPr="005C266D">
            <w:rPr>
              <w:rFonts w:eastAsiaTheme="minorEastAsia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6E9A267" wp14:editId="0C081E6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5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3CBF63D" id="Obdélník 5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" o:allowincell="f" strokecolor="#4f81bd">
                    <w10:wrap anchorx="margin" anchory="page"/>
                  </v:rect>
                </w:pict>
              </mc:Fallback>
            </mc:AlternateContent>
          </w:r>
          <w:r w:rsidRPr="005C266D">
            <w:rPr>
              <w:rFonts w:eastAsiaTheme="minorEastAsia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E82950E" wp14:editId="629D12C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28575"/>
                    <wp:wrapNone/>
                    <wp:docPr id="10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75000"/>
                              </a:srgbClr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664D48E" id="Obdélní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" o:allowincell="f" fillcolor="#376092" strokecolor="#4f81bd">
                    <w10:wrap anchorx="page" anchory="margin"/>
                  </v:rect>
                </w:pict>
              </mc:Fallback>
            </mc:AlternateContent>
          </w:r>
          <w:sdt>
            <w:sdtPr>
              <w:rPr>
                <w:rFonts w:eastAsiaTheme="majorEastAsia" w:cstheme="majorBidi"/>
                <w:b/>
                <w:color w:val="44546A" w:themeColor="text2"/>
                <w:lang w:eastAsia="cs-CZ"/>
              </w:rPr>
              <w:alias w:val="Název"/>
              <w:id w:val="14700071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772AC">
                <w:rPr>
                  <w:rFonts w:eastAsiaTheme="majorEastAsia" w:cstheme="majorBidi"/>
                  <w:b/>
                  <w:color w:val="44546A" w:themeColor="text2"/>
                  <w:lang w:eastAsia="cs-CZ"/>
                </w:rPr>
                <w:t xml:space="preserve">     </w:t>
              </w:r>
            </w:sdtContent>
          </w:sdt>
        </w:p>
        <w:sdt>
          <w:sdtPr>
            <w:rPr>
              <w:rFonts w:eastAsiaTheme="majorEastAsia" w:cstheme="majorBidi"/>
              <w:b/>
              <w:color w:val="44546A" w:themeColor="text2"/>
              <w:lang w:eastAsia="cs-CZ"/>
            </w:rPr>
            <w:alias w:val="Podtitul"/>
            <w:id w:val="14700077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42E33C2E" w14:textId="2292349C" w:rsidR="005C266D" w:rsidRPr="005C266D" w:rsidRDefault="007772AC" w:rsidP="005C266D">
              <w:pPr>
                <w:rPr>
                  <w:rFonts w:eastAsiaTheme="majorEastAsia" w:cstheme="majorBidi"/>
                  <w:b/>
                  <w:color w:val="44546A" w:themeColor="text2"/>
                  <w:lang w:eastAsia="cs-CZ"/>
                </w:rPr>
              </w:pPr>
              <w:r>
                <w:rPr>
                  <w:rFonts w:eastAsiaTheme="majorEastAsia" w:cstheme="majorBidi"/>
                  <w:b/>
                  <w:color w:val="44546A" w:themeColor="text2"/>
                  <w:lang w:eastAsia="cs-CZ"/>
                </w:rPr>
                <w:t xml:space="preserve">     </w:t>
              </w:r>
            </w:p>
          </w:sdtContent>
        </w:sdt>
        <w:p w14:paraId="228893B1" w14:textId="77777777" w:rsidR="005C266D" w:rsidRPr="005C266D" w:rsidRDefault="005C266D" w:rsidP="005C266D">
          <w:pPr>
            <w:rPr>
              <w:rFonts w:asciiTheme="majorHAnsi" w:eastAsiaTheme="majorEastAsia" w:hAnsiTheme="majorHAnsi" w:cstheme="majorBidi"/>
              <w:lang w:eastAsia="cs-CZ"/>
            </w:rPr>
          </w:pPr>
        </w:p>
        <w:p w14:paraId="6F14E53D" w14:textId="6E4A26F1" w:rsidR="005C266D" w:rsidRPr="00746421" w:rsidRDefault="00746421" w:rsidP="00746421">
          <w:pPr>
            <w:spacing w:line="240" w:lineRule="auto"/>
            <w:jc w:val="center"/>
            <w:rPr>
              <w:b/>
              <w:bCs/>
              <w:color w:val="000000" w:themeColor="text1"/>
              <w:sz w:val="96"/>
              <w:szCs w:val="96"/>
            </w:rPr>
          </w:pPr>
          <w:r w:rsidRPr="00746421">
            <w:rPr>
              <w:b/>
              <w:bCs/>
              <w:color w:val="000000" w:themeColor="text1"/>
              <w:sz w:val="96"/>
              <w:szCs w:val="96"/>
            </w:rPr>
            <w:t>Vyhodnocení plnění akčního plánu na léta 2021-2023 ke koncepci Klientsky orientovaná veřejná správa 2030</w:t>
          </w:r>
        </w:p>
        <w:p w14:paraId="0FAB512B" w14:textId="77777777" w:rsidR="005C266D" w:rsidRDefault="005C266D" w:rsidP="005C266D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sz w:val="36"/>
              <w:szCs w:val="36"/>
              <w:lang w:eastAsia="cs-CZ"/>
            </w:rPr>
          </w:pPr>
        </w:p>
        <w:p w14:paraId="3A55A9C6" w14:textId="77777777" w:rsidR="005C266D" w:rsidRDefault="005C266D" w:rsidP="005C266D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sz w:val="36"/>
              <w:szCs w:val="36"/>
              <w:lang w:eastAsia="cs-CZ"/>
            </w:rPr>
          </w:pPr>
        </w:p>
        <w:p w14:paraId="035EF1E4" w14:textId="77777777" w:rsidR="005C266D" w:rsidRDefault="005C266D" w:rsidP="005C266D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sz w:val="36"/>
              <w:szCs w:val="36"/>
              <w:lang w:eastAsia="cs-CZ"/>
            </w:rPr>
          </w:pPr>
        </w:p>
        <w:p w14:paraId="6C726CF3" w14:textId="77777777" w:rsidR="005C266D" w:rsidRDefault="005C266D" w:rsidP="005C266D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sz w:val="36"/>
              <w:szCs w:val="36"/>
              <w:lang w:eastAsia="cs-CZ"/>
            </w:rPr>
          </w:pPr>
        </w:p>
        <w:p w14:paraId="7CCA9E29" w14:textId="77777777" w:rsidR="005C266D" w:rsidRDefault="005C266D" w:rsidP="005C266D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sz w:val="36"/>
              <w:szCs w:val="36"/>
              <w:lang w:eastAsia="cs-CZ"/>
            </w:rPr>
          </w:pPr>
        </w:p>
        <w:p w14:paraId="04227CB7" w14:textId="77777777" w:rsidR="005C266D" w:rsidRPr="00F02B30" w:rsidRDefault="005C266D" w:rsidP="005C266D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sz w:val="36"/>
              <w:szCs w:val="36"/>
              <w:lang w:eastAsia="cs-CZ"/>
            </w:rPr>
          </w:pPr>
        </w:p>
        <w:p w14:paraId="3A1728A9" w14:textId="0826DF7A" w:rsidR="005C266D" w:rsidRPr="00F02B30" w:rsidRDefault="004E155E" w:rsidP="005C266D">
          <w:pPr>
            <w:spacing w:after="0" w:line="240" w:lineRule="auto"/>
            <w:rPr>
              <w:rFonts w:eastAsiaTheme="minorEastAsia"/>
              <w:lang w:eastAsia="cs-CZ"/>
            </w:rPr>
          </w:pPr>
          <w:r>
            <w:rPr>
              <w:rFonts w:eastAsiaTheme="minorEastAsia"/>
              <w:lang w:eastAsia="cs-CZ"/>
            </w:rPr>
            <w:t>Leden</w:t>
          </w:r>
          <w:r w:rsidR="005C266D">
            <w:rPr>
              <w:rFonts w:eastAsiaTheme="minorEastAsia"/>
              <w:lang w:eastAsia="cs-CZ"/>
            </w:rPr>
            <w:t xml:space="preserve"> 2024</w:t>
          </w:r>
        </w:p>
        <w:sdt>
          <w:sdtPr>
            <w:rPr>
              <w:rFonts w:eastAsiaTheme="minorEastAsia"/>
              <w:lang w:eastAsia="cs-CZ"/>
            </w:rPr>
            <w:alias w:val="Společnost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257FAD5E" w14:textId="77777777" w:rsidR="005C266D" w:rsidRPr="00F02B30" w:rsidRDefault="005C266D" w:rsidP="005C266D">
              <w:pPr>
                <w:spacing w:after="0" w:line="240" w:lineRule="auto"/>
                <w:rPr>
                  <w:rFonts w:eastAsiaTheme="minorEastAsia"/>
                  <w:lang w:eastAsia="cs-CZ"/>
                </w:rPr>
              </w:pPr>
              <w:r>
                <w:rPr>
                  <w:rFonts w:eastAsiaTheme="minorEastAsia"/>
                  <w:lang w:eastAsia="cs-CZ"/>
                </w:rPr>
                <w:t>Ministerstvo vnitra</w:t>
              </w:r>
            </w:p>
          </w:sdtContent>
        </w:sdt>
        <w:p w14:paraId="3354E84F" w14:textId="77777777" w:rsidR="0035389C" w:rsidRDefault="0035389C">
          <w:pPr>
            <w:rPr>
              <w:rFonts w:eastAsiaTheme="minorEastAsia"/>
              <w:noProof/>
              <w:color w:val="0563C1" w:themeColor="hyperlink"/>
              <w:u w:val="single"/>
              <w:lang w:eastAsia="cs-CZ"/>
            </w:rPr>
          </w:pPr>
          <w:r>
            <w:rPr>
              <w:rFonts w:eastAsiaTheme="minorEastAsia"/>
              <w:noProof/>
              <w:color w:val="0563C1" w:themeColor="hyperlink"/>
              <w:u w:val="single"/>
              <w:lang w:eastAsia="cs-CZ"/>
            </w:rPr>
            <w:br w:type="page"/>
          </w:r>
        </w:p>
        <w:p w14:paraId="47ADE485" w14:textId="77777777" w:rsidR="006D751E" w:rsidRDefault="007D508D" w:rsidP="006D751E">
          <w:pPr>
            <w:rPr>
              <w:rStyle w:val="Hypertextovodkaz"/>
              <w:noProof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id w:val="14853489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835AF0" w14:textId="76EB9B33" w:rsidR="007B6B85" w:rsidRPr="0035389C" w:rsidRDefault="007B6B85" w:rsidP="00254666">
          <w:pPr>
            <w:pStyle w:val="Nadpisobsahu"/>
            <w:spacing w:line="240" w:lineRule="auto"/>
            <w:rPr>
              <w:b/>
              <w:bCs/>
            </w:rPr>
          </w:pPr>
          <w:r w:rsidRPr="0035389C">
            <w:rPr>
              <w:b/>
              <w:bCs/>
            </w:rPr>
            <w:t>Obsah</w:t>
          </w:r>
        </w:p>
        <w:p w14:paraId="2A319F0E" w14:textId="08759A39" w:rsidR="00F41515" w:rsidRDefault="007B6B85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832407" w:history="1"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1.</w:t>
            </w:r>
            <w:r w:rsidR="00F41515">
              <w:rPr>
                <w:rFonts w:eastAsiaTheme="minorEastAsia"/>
                <w:noProof/>
                <w:lang w:eastAsia="cs-CZ"/>
              </w:rPr>
              <w:tab/>
            </w:r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Úvod</w:t>
            </w:r>
            <w:r w:rsidR="00F41515">
              <w:rPr>
                <w:noProof/>
                <w:webHidden/>
              </w:rPr>
              <w:tab/>
            </w:r>
            <w:r w:rsidR="00F41515">
              <w:rPr>
                <w:noProof/>
                <w:webHidden/>
              </w:rPr>
              <w:fldChar w:fldCharType="begin"/>
            </w:r>
            <w:r w:rsidR="00F41515">
              <w:rPr>
                <w:noProof/>
                <w:webHidden/>
              </w:rPr>
              <w:instrText xml:space="preserve"> PAGEREF _Toc161832407 \h </w:instrText>
            </w:r>
            <w:r w:rsidR="00F41515">
              <w:rPr>
                <w:noProof/>
                <w:webHidden/>
              </w:rPr>
            </w:r>
            <w:r w:rsidR="00F41515">
              <w:rPr>
                <w:noProof/>
                <w:webHidden/>
              </w:rPr>
              <w:fldChar w:fldCharType="separate"/>
            </w:r>
            <w:r w:rsidR="00F41515">
              <w:rPr>
                <w:noProof/>
                <w:webHidden/>
              </w:rPr>
              <w:t>3</w:t>
            </w:r>
            <w:r w:rsidR="00F41515">
              <w:rPr>
                <w:noProof/>
                <w:webHidden/>
              </w:rPr>
              <w:fldChar w:fldCharType="end"/>
            </w:r>
          </w:hyperlink>
        </w:p>
        <w:p w14:paraId="4CAFAC09" w14:textId="273F5511" w:rsidR="00F41515" w:rsidRDefault="007D50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1832408" w:history="1"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2.</w:t>
            </w:r>
            <w:r w:rsidR="00F41515">
              <w:rPr>
                <w:rFonts w:eastAsiaTheme="minorEastAsia"/>
                <w:noProof/>
                <w:lang w:eastAsia="cs-CZ"/>
              </w:rPr>
              <w:tab/>
            </w:r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Vyhodnocení plnění strategických cílů</w:t>
            </w:r>
            <w:r w:rsidR="00F41515">
              <w:rPr>
                <w:noProof/>
                <w:webHidden/>
              </w:rPr>
              <w:tab/>
            </w:r>
            <w:r w:rsidR="00F41515">
              <w:rPr>
                <w:noProof/>
                <w:webHidden/>
              </w:rPr>
              <w:fldChar w:fldCharType="begin"/>
            </w:r>
            <w:r w:rsidR="00F41515">
              <w:rPr>
                <w:noProof/>
                <w:webHidden/>
              </w:rPr>
              <w:instrText xml:space="preserve"> PAGEREF _Toc161832408 \h </w:instrText>
            </w:r>
            <w:r w:rsidR="00F41515">
              <w:rPr>
                <w:noProof/>
                <w:webHidden/>
              </w:rPr>
            </w:r>
            <w:r w:rsidR="00F41515">
              <w:rPr>
                <w:noProof/>
                <w:webHidden/>
              </w:rPr>
              <w:fldChar w:fldCharType="separate"/>
            </w:r>
            <w:r w:rsidR="00F41515">
              <w:rPr>
                <w:noProof/>
                <w:webHidden/>
              </w:rPr>
              <w:t>3</w:t>
            </w:r>
            <w:r w:rsidR="00F41515">
              <w:rPr>
                <w:noProof/>
                <w:webHidden/>
              </w:rPr>
              <w:fldChar w:fldCharType="end"/>
            </w:r>
          </w:hyperlink>
        </w:p>
        <w:p w14:paraId="0A67A7D8" w14:textId="3F6CE350" w:rsidR="00F41515" w:rsidRDefault="007D50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1832409" w:history="1"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3.</w:t>
            </w:r>
            <w:r w:rsidR="00F41515">
              <w:rPr>
                <w:rFonts w:eastAsiaTheme="minorEastAsia"/>
                <w:noProof/>
                <w:lang w:eastAsia="cs-CZ"/>
              </w:rPr>
              <w:tab/>
            </w:r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Závěr</w:t>
            </w:r>
            <w:r w:rsidR="00F41515">
              <w:rPr>
                <w:noProof/>
                <w:webHidden/>
              </w:rPr>
              <w:tab/>
            </w:r>
            <w:r w:rsidR="00F41515">
              <w:rPr>
                <w:noProof/>
                <w:webHidden/>
              </w:rPr>
              <w:fldChar w:fldCharType="begin"/>
            </w:r>
            <w:r w:rsidR="00F41515">
              <w:rPr>
                <w:noProof/>
                <w:webHidden/>
              </w:rPr>
              <w:instrText xml:space="preserve"> PAGEREF _Toc161832409 \h </w:instrText>
            </w:r>
            <w:r w:rsidR="00F41515">
              <w:rPr>
                <w:noProof/>
                <w:webHidden/>
              </w:rPr>
            </w:r>
            <w:r w:rsidR="00F41515">
              <w:rPr>
                <w:noProof/>
                <w:webHidden/>
              </w:rPr>
              <w:fldChar w:fldCharType="separate"/>
            </w:r>
            <w:r w:rsidR="00F41515">
              <w:rPr>
                <w:noProof/>
                <w:webHidden/>
              </w:rPr>
              <w:t>15</w:t>
            </w:r>
            <w:r w:rsidR="00F41515">
              <w:rPr>
                <w:noProof/>
                <w:webHidden/>
              </w:rPr>
              <w:fldChar w:fldCharType="end"/>
            </w:r>
          </w:hyperlink>
        </w:p>
        <w:p w14:paraId="459EC363" w14:textId="03CD66E2" w:rsidR="00F41515" w:rsidRDefault="007D50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1832410" w:history="1"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4.</w:t>
            </w:r>
            <w:r w:rsidR="00F41515">
              <w:rPr>
                <w:rFonts w:eastAsiaTheme="minorEastAsia"/>
                <w:noProof/>
                <w:lang w:eastAsia="cs-CZ"/>
              </w:rPr>
              <w:tab/>
            </w:r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Vyhodnocení plnění indikátorů</w:t>
            </w:r>
            <w:r w:rsidR="00F41515">
              <w:rPr>
                <w:noProof/>
                <w:webHidden/>
              </w:rPr>
              <w:tab/>
            </w:r>
            <w:r w:rsidR="00F41515">
              <w:rPr>
                <w:noProof/>
                <w:webHidden/>
              </w:rPr>
              <w:fldChar w:fldCharType="begin"/>
            </w:r>
            <w:r w:rsidR="00F41515">
              <w:rPr>
                <w:noProof/>
                <w:webHidden/>
              </w:rPr>
              <w:instrText xml:space="preserve"> PAGEREF _Toc161832410 \h </w:instrText>
            </w:r>
            <w:r w:rsidR="00F41515">
              <w:rPr>
                <w:noProof/>
                <w:webHidden/>
              </w:rPr>
            </w:r>
            <w:r w:rsidR="00F41515">
              <w:rPr>
                <w:noProof/>
                <w:webHidden/>
              </w:rPr>
              <w:fldChar w:fldCharType="separate"/>
            </w:r>
            <w:r w:rsidR="00F41515">
              <w:rPr>
                <w:noProof/>
                <w:webHidden/>
              </w:rPr>
              <w:t>16</w:t>
            </w:r>
            <w:r w:rsidR="00F41515">
              <w:rPr>
                <w:noProof/>
                <w:webHidden/>
              </w:rPr>
              <w:fldChar w:fldCharType="end"/>
            </w:r>
          </w:hyperlink>
        </w:p>
        <w:p w14:paraId="76BA9676" w14:textId="1AEBEDEE" w:rsidR="00F41515" w:rsidRDefault="007D50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1832411" w:history="1"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5.</w:t>
            </w:r>
            <w:r w:rsidR="00F41515">
              <w:rPr>
                <w:rFonts w:eastAsiaTheme="minorEastAsia"/>
                <w:noProof/>
                <w:lang w:eastAsia="cs-CZ"/>
              </w:rPr>
              <w:tab/>
            </w:r>
            <w:r w:rsidR="00F41515" w:rsidRPr="00B054DA">
              <w:rPr>
                <w:rStyle w:val="Hypertextovodkaz"/>
                <w:rFonts w:eastAsia="Times New Roman"/>
                <w:b/>
                <w:bCs/>
                <w:noProof/>
              </w:rPr>
              <w:t>Závěr</w:t>
            </w:r>
            <w:r w:rsidR="00F41515">
              <w:rPr>
                <w:noProof/>
                <w:webHidden/>
              </w:rPr>
              <w:tab/>
            </w:r>
            <w:r w:rsidR="00F41515">
              <w:rPr>
                <w:noProof/>
                <w:webHidden/>
              </w:rPr>
              <w:fldChar w:fldCharType="begin"/>
            </w:r>
            <w:r w:rsidR="00F41515">
              <w:rPr>
                <w:noProof/>
                <w:webHidden/>
              </w:rPr>
              <w:instrText xml:space="preserve"> PAGEREF _Toc161832411 \h </w:instrText>
            </w:r>
            <w:r w:rsidR="00F41515">
              <w:rPr>
                <w:noProof/>
                <w:webHidden/>
              </w:rPr>
            </w:r>
            <w:r w:rsidR="00F41515">
              <w:rPr>
                <w:noProof/>
                <w:webHidden/>
              </w:rPr>
              <w:fldChar w:fldCharType="separate"/>
            </w:r>
            <w:r w:rsidR="00F41515">
              <w:rPr>
                <w:noProof/>
                <w:webHidden/>
              </w:rPr>
              <w:t>17</w:t>
            </w:r>
            <w:r w:rsidR="00F41515">
              <w:rPr>
                <w:noProof/>
                <w:webHidden/>
              </w:rPr>
              <w:fldChar w:fldCharType="end"/>
            </w:r>
          </w:hyperlink>
        </w:p>
        <w:p w14:paraId="52446DBF" w14:textId="6F2B237A" w:rsidR="007B6B85" w:rsidRDefault="007B6B85" w:rsidP="00254666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26800EFB" w14:textId="3C8B2F2D" w:rsidR="007B6B85" w:rsidRPr="001476CD" w:rsidRDefault="007B6B85" w:rsidP="00254666">
      <w:pPr>
        <w:spacing w:line="240" w:lineRule="auto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b/>
          <w:bCs/>
        </w:rPr>
        <w:br w:type="page"/>
      </w:r>
    </w:p>
    <w:p w14:paraId="41945885" w14:textId="77777777" w:rsidR="00EC7BD4" w:rsidRDefault="00EC7BD4" w:rsidP="00254666">
      <w:pPr>
        <w:spacing w:line="240" w:lineRule="auto"/>
      </w:pPr>
    </w:p>
    <w:p w14:paraId="7314C94B" w14:textId="2655BE25" w:rsidR="00EC7BD4" w:rsidRPr="00096C56" w:rsidRDefault="00EC7BD4" w:rsidP="00254666">
      <w:pPr>
        <w:pStyle w:val="Nadpis2"/>
        <w:numPr>
          <w:ilvl w:val="0"/>
          <w:numId w:val="25"/>
        </w:numPr>
        <w:spacing w:after="120" w:line="240" w:lineRule="auto"/>
        <w:rPr>
          <w:rFonts w:eastAsia="Times New Roman"/>
          <w:b/>
          <w:bCs/>
          <w:color w:val="auto"/>
        </w:rPr>
      </w:pPr>
      <w:bookmarkStart w:id="0" w:name="_Toc155707114"/>
      <w:bookmarkStart w:id="1" w:name="_Toc161832407"/>
      <w:r w:rsidRPr="00096C56">
        <w:rPr>
          <w:rFonts w:eastAsia="Times New Roman"/>
          <w:b/>
          <w:bCs/>
          <w:color w:val="auto"/>
        </w:rPr>
        <w:t>Úvod</w:t>
      </w:r>
      <w:bookmarkEnd w:id="0"/>
      <w:bookmarkEnd w:id="1"/>
    </w:p>
    <w:p w14:paraId="7F7B406C" w14:textId="028CF74D" w:rsidR="00EC7BD4" w:rsidRPr="00096C56" w:rsidRDefault="00EC7BD4" w:rsidP="008E6D58">
      <w:pPr>
        <w:spacing w:after="120" w:line="276" w:lineRule="auto"/>
        <w:jc w:val="both"/>
      </w:pPr>
      <w:r w:rsidRPr="00096C56">
        <w:t>Koncepce Klientsky orientovaná veřejná správa 2030, dále i „KOVES“, byla připravována v</w:t>
      </w:r>
      <w:r w:rsidR="007B0FCB">
        <w:t xml:space="preserve"> </w:t>
      </w:r>
      <w:r w:rsidRPr="00096C56">
        <w:t>letech 2018 až 2019 a schválena usnesením vlády č. 562 ze dne 25. května 2020. Koncepce je rozdělena do pěti strategických cílů, které se dále dělí na specifické cíle a následně na jednotlivá opatření. Spolu s</w:t>
      </w:r>
      <w:r w:rsidR="007B0FCB">
        <w:t xml:space="preserve"> </w:t>
      </w:r>
      <w:r w:rsidRPr="00096C56">
        <w:t>KOVES byl zmíněným usnesením vlády schválen i Akční plán implementace na léta 2021 až 2023</w:t>
      </w:r>
      <w:r w:rsidRPr="00096C56">
        <w:rPr>
          <w:rStyle w:val="Znakapoznpodarou"/>
        </w:rPr>
        <w:footnoteReference w:customMarkFollows="1" w:id="1"/>
        <w:t>[1]</w:t>
      </w:r>
      <w:r w:rsidRPr="00096C56">
        <w:t>, dále i „AP“.</w:t>
      </w:r>
    </w:p>
    <w:p w14:paraId="36636AF1" w14:textId="426C6297" w:rsidR="005A1D41" w:rsidRDefault="00EC7BD4" w:rsidP="008E6D58">
      <w:pPr>
        <w:spacing w:after="120" w:line="276" w:lineRule="auto"/>
        <w:jc w:val="both"/>
      </w:pPr>
      <w:r w:rsidRPr="00096C56">
        <w:t>Na základě výše uvedeného usnesení vlády má MV v</w:t>
      </w:r>
      <w:r w:rsidR="007B0FCB">
        <w:t xml:space="preserve"> </w:t>
      </w:r>
      <w:r w:rsidRPr="00096C56">
        <w:t>termínu do 31. března 2024 zpracovat vyhodnocení 1.</w:t>
      </w:r>
      <w:r w:rsidR="007B0FCB">
        <w:t xml:space="preserve"> </w:t>
      </w:r>
      <w:r w:rsidRPr="00096C56">
        <w:t>AP</w:t>
      </w:r>
      <w:r w:rsidR="005A1D41">
        <w:t>.</w:t>
      </w:r>
    </w:p>
    <w:p w14:paraId="530F09D4" w14:textId="27A41EC0" w:rsidR="0068501B" w:rsidRDefault="0068501B" w:rsidP="008E6D58">
      <w:pPr>
        <w:spacing w:after="120" w:line="276" w:lineRule="auto"/>
        <w:jc w:val="both"/>
      </w:pPr>
      <w:r>
        <w:t>Monitorování pl</w:t>
      </w:r>
      <w:r w:rsidR="00711C09">
        <w:t>nění akčního plánu probíhalo v daném období primárně v rámci vytvořené Pracovní skupiny implementace koncepce Klientsky orientovaná veřejná správa 2030</w:t>
      </w:r>
      <w:r w:rsidR="00E00A64">
        <w:t xml:space="preserve">. </w:t>
      </w:r>
      <w:r w:rsidR="00321978">
        <w:t>Pracovní skupina se schází minimálně 3x ročně, přičemž ú</w:t>
      </w:r>
      <w:r w:rsidR="00E00A64">
        <w:t xml:space="preserve">častníky pracovní skupiny jsou zástupci jednotlivých rezortů, kteří plní příslušné aktivity v rámci </w:t>
      </w:r>
      <w:r w:rsidR="00C25277">
        <w:t>předmětné koncepce.</w:t>
      </w:r>
    </w:p>
    <w:p w14:paraId="097A05C5" w14:textId="77777777" w:rsidR="00321978" w:rsidRDefault="00321978" w:rsidP="005A1D41">
      <w:pPr>
        <w:spacing w:after="120" w:line="240" w:lineRule="auto"/>
        <w:jc w:val="both"/>
      </w:pPr>
    </w:p>
    <w:p w14:paraId="0CAF6A5C" w14:textId="69FC923C" w:rsidR="005A1D41" w:rsidRDefault="00321978" w:rsidP="00321978">
      <w:pPr>
        <w:pStyle w:val="Nadpis2"/>
        <w:numPr>
          <w:ilvl w:val="0"/>
          <w:numId w:val="25"/>
        </w:numPr>
        <w:spacing w:after="120" w:line="240" w:lineRule="auto"/>
        <w:rPr>
          <w:rFonts w:eastAsia="Times New Roman"/>
          <w:b/>
          <w:bCs/>
          <w:color w:val="auto"/>
        </w:rPr>
      </w:pPr>
      <w:bookmarkStart w:id="2" w:name="_Toc161832408"/>
      <w:r w:rsidRPr="00321978">
        <w:rPr>
          <w:rFonts w:eastAsia="Times New Roman"/>
          <w:b/>
          <w:bCs/>
          <w:color w:val="auto"/>
        </w:rPr>
        <w:t>Vyhodnocení plnění</w:t>
      </w:r>
      <w:r w:rsidR="00610A1F">
        <w:rPr>
          <w:rFonts w:eastAsia="Times New Roman"/>
          <w:b/>
          <w:bCs/>
          <w:color w:val="auto"/>
        </w:rPr>
        <w:t xml:space="preserve"> strategických cílů</w:t>
      </w:r>
      <w:bookmarkEnd w:id="2"/>
    </w:p>
    <w:p w14:paraId="6DD8E445" w14:textId="6A393F55" w:rsidR="00321978" w:rsidRDefault="000910CF" w:rsidP="00D11849">
      <w:pPr>
        <w:spacing w:before="120" w:after="0" w:line="276" w:lineRule="auto"/>
        <w:jc w:val="both"/>
      </w:pPr>
      <w:r>
        <w:t xml:space="preserve">Koncepce klientsky orientovaná veřejná správa 2030 se skládá z </w:t>
      </w:r>
      <w:r w:rsidR="008E68A3">
        <w:t>celkem pěti strategických cílů. Konkrétně se jedná o:</w:t>
      </w:r>
    </w:p>
    <w:p w14:paraId="221B730D" w14:textId="6FD4B427" w:rsidR="008E68A3" w:rsidRDefault="008E68A3" w:rsidP="008E6D58">
      <w:pPr>
        <w:spacing w:before="120" w:after="0" w:line="276" w:lineRule="auto"/>
        <w:ind w:left="284"/>
        <w:jc w:val="both"/>
      </w:pPr>
      <w:r w:rsidRPr="008E68A3">
        <w:t>S</w:t>
      </w:r>
      <w:r>
        <w:t>trategický</w:t>
      </w:r>
      <w:r w:rsidRPr="008E68A3">
        <w:t xml:space="preserve"> </w:t>
      </w:r>
      <w:r>
        <w:t>cíl</w:t>
      </w:r>
      <w:r w:rsidRPr="008E68A3">
        <w:t xml:space="preserve"> 1 P</w:t>
      </w:r>
      <w:r w:rsidR="00D80D33">
        <w:t>ro klienta dostupné a kvalitní služby veřejné správy</w:t>
      </w:r>
      <w:r w:rsidR="00213453">
        <w:t>,</w:t>
      </w:r>
    </w:p>
    <w:p w14:paraId="12197585" w14:textId="4E10418A" w:rsidR="008E68A3" w:rsidRDefault="008E68A3" w:rsidP="008E6D58">
      <w:pPr>
        <w:spacing w:before="120" w:after="0" w:line="276" w:lineRule="auto"/>
        <w:ind w:left="284"/>
        <w:jc w:val="both"/>
      </w:pPr>
      <w:r w:rsidRPr="008E68A3">
        <w:t>S</w:t>
      </w:r>
      <w:r>
        <w:t>trategický</w:t>
      </w:r>
      <w:r w:rsidRPr="008E68A3">
        <w:t xml:space="preserve"> </w:t>
      </w:r>
      <w:r>
        <w:t>cíl</w:t>
      </w:r>
      <w:r w:rsidRPr="008E68A3">
        <w:t xml:space="preserve"> 2 E</w:t>
      </w:r>
      <w:r w:rsidR="00D80D33">
        <w:t>fektivně fungující systém veřejné správy</w:t>
      </w:r>
      <w:r w:rsidR="00213453">
        <w:t>,</w:t>
      </w:r>
    </w:p>
    <w:p w14:paraId="75BE20D7" w14:textId="60AF3142" w:rsidR="008E68A3" w:rsidRDefault="008E68A3" w:rsidP="008E6D58">
      <w:pPr>
        <w:spacing w:before="120" w:after="0" w:line="276" w:lineRule="auto"/>
        <w:ind w:left="284"/>
        <w:jc w:val="both"/>
      </w:pPr>
      <w:r w:rsidRPr="008E68A3">
        <w:t>S</w:t>
      </w:r>
      <w:r>
        <w:t>trategický</w:t>
      </w:r>
      <w:r w:rsidRPr="008E68A3">
        <w:t xml:space="preserve"> </w:t>
      </w:r>
      <w:r>
        <w:t>cíl</w:t>
      </w:r>
      <w:r w:rsidRPr="008E68A3">
        <w:t xml:space="preserve"> 3 E</w:t>
      </w:r>
      <w:r w:rsidR="00D80D33">
        <w:t>fektivně fungující instituce veřejné správy</w:t>
      </w:r>
      <w:r w:rsidR="00213453">
        <w:t>,</w:t>
      </w:r>
    </w:p>
    <w:p w14:paraId="19FEDAC8" w14:textId="3C01A0EC" w:rsidR="008E68A3" w:rsidRDefault="008E68A3" w:rsidP="008E6D58">
      <w:pPr>
        <w:spacing w:before="120" w:after="0" w:line="276" w:lineRule="auto"/>
        <w:ind w:left="284"/>
        <w:jc w:val="both"/>
      </w:pPr>
      <w:r w:rsidRPr="008E68A3">
        <w:t>S</w:t>
      </w:r>
      <w:r>
        <w:t>trategický</w:t>
      </w:r>
      <w:r w:rsidRPr="008E68A3">
        <w:t xml:space="preserve"> </w:t>
      </w:r>
      <w:r>
        <w:t>cíl</w:t>
      </w:r>
      <w:r w:rsidRPr="008E68A3">
        <w:t xml:space="preserve"> 4 K</w:t>
      </w:r>
      <w:r w:rsidR="00D80D33">
        <w:t>ompetentní lidské zdroje</w:t>
      </w:r>
      <w:r w:rsidR="00213453">
        <w:t>,</w:t>
      </w:r>
    </w:p>
    <w:p w14:paraId="65A00DE4" w14:textId="339A7F06" w:rsidR="00213453" w:rsidRDefault="008E68A3" w:rsidP="00251D67">
      <w:pPr>
        <w:spacing w:before="120" w:after="0" w:line="276" w:lineRule="auto"/>
        <w:ind w:left="284"/>
        <w:jc w:val="both"/>
      </w:pPr>
      <w:r w:rsidRPr="008E68A3">
        <w:t>S</w:t>
      </w:r>
      <w:r>
        <w:t>trategický</w:t>
      </w:r>
      <w:r w:rsidRPr="008E68A3">
        <w:t xml:space="preserve"> </w:t>
      </w:r>
      <w:r>
        <w:t>cíl</w:t>
      </w:r>
      <w:r w:rsidRPr="008E68A3">
        <w:t xml:space="preserve"> 5 I</w:t>
      </w:r>
      <w:r w:rsidR="00213453">
        <w:t>nformovaní a účastnící se občané.</w:t>
      </w:r>
    </w:p>
    <w:p w14:paraId="7360165B" w14:textId="41106F29" w:rsidR="00184283" w:rsidRDefault="00184283" w:rsidP="009B0258">
      <w:pPr>
        <w:spacing w:before="120" w:after="0" w:line="276" w:lineRule="auto"/>
        <w:jc w:val="both"/>
      </w:pPr>
      <w:r>
        <w:t>Vyhodnocení jednotlivých strategických cílů, specifických cílů a aktivit je popsáno níže.</w:t>
      </w:r>
    </w:p>
    <w:p w14:paraId="2E8554CF" w14:textId="77777777" w:rsidR="00184283" w:rsidRDefault="00184283" w:rsidP="009B0258">
      <w:pPr>
        <w:spacing w:before="120" w:after="0" w:line="276" w:lineRule="auto"/>
        <w:jc w:val="both"/>
      </w:pPr>
    </w:p>
    <w:p w14:paraId="207753DE" w14:textId="2C806454" w:rsidR="00213453" w:rsidRPr="00474391" w:rsidRDefault="00213453" w:rsidP="009B0258">
      <w:pPr>
        <w:spacing w:before="120" w:after="0" w:line="276" w:lineRule="auto"/>
        <w:jc w:val="both"/>
        <w:rPr>
          <w:b/>
          <w:bCs/>
        </w:rPr>
      </w:pPr>
      <w:r w:rsidRPr="00474391">
        <w:rPr>
          <w:b/>
          <w:bCs/>
        </w:rPr>
        <w:t xml:space="preserve">Strategický cíl </w:t>
      </w:r>
      <w:r w:rsidR="006738B3" w:rsidRPr="00474391">
        <w:rPr>
          <w:b/>
          <w:bCs/>
        </w:rPr>
        <w:t>1</w:t>
      </w:r>
      <w:r w:rsidRPr="00474391">
        <w:rPr>
          <w:b/>
          <w:bCs/>
        </w:rPr>
        <w:t>:</w:t>
      </w:r>
    </w:p>
    <w:p w14:paraId="4C111668" w14:textId="10111591" w:rsidR="00213453" w:rsidRDefault="006738B3" w:rsidP="009B0258">
      <w:pPr>
        <w:spacing w:before="120" w:after="0" w:line="276" w:lineRule="auto"/>
        <w:jc w:val="both"/>
      </w:pPr>
      <w:r>
        <w:t>Uvedený Strategický cíl se skládá z celkem 2 specifických cílů</w:t>
      </w:r>
      <w:r w:rsidR="00FD273E">
        <w:t>,</w:t>
      </w:r>
      <w:r w:rsidR="000C41FF">
        <w:t xml:space="preserve"> a to:</w:t>
      </w:r>
    </w:p>
    <w:p w14:paraId="0B91EED2" w14:textId="4A461F17" w:rsidR="000C41FF" w:rsidRPr="004059E8" w:rsidRDefault="000C41FF" w:rsidP="009B0258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>Specifický cíl 1.1 Zlepšit kvalitu služeb poskytovaných veřejnou správou,</w:t>
      </w:r>
    </w:p>
    <w:p w14:paraId="5099DDB7" w14:textId="707BEA0E" w:rsidR="00213453" w:rsidRPr="004059E8" w:rsidRDefault="000C41FF" w:rsidP="009B0258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="00EE1F2B" w:rsidRPr="004059E8">
        <w:rPr>
          <w:b/>
          <w:bCs/>
        </w:rPr>
        <w:t>1</w:t>
      </w:r>
      <w:r w:rsidRPr="004059E8">
        <w:rPr>
          <w:b/>
          <w:bCs/>
        </w:rPr>
        <w:t>.2 Zajistit optimální dostupnost služeb.</w:t>
      </w:r>
    </w:p>
    <w:p w14:paraId="6163528B" w14:textId="10DAC4FE" w:rsidR="00321978" w:rsidRDefault="000C41FF" w:rsidP="00840F19">
      <w:pPr>
        <w:spacing w:before="120" w:after="0" w:line="276" w:lineRule="auto"/>
        <w:jc w:val="both"/>
      </w:pPr>
      <w:r>
        <w:t xml:space="preserve">V rámci </w:t>
      </w:r>
      <w:r w:rsidR="00EE1F2B">
        <w:t xml:space="preserve">Specifického cíle 1.1 </w:t>
      </w:r>
      <w:r w:rsidR="009B0258">
        <w:t>mělo být realizováno celkem 17 aktivit. Splněny byly aktivity zaměřené na</w:t>
      </w:r>
      <w:r w:rsidR="00880B29">
        <w:t xml:space="preserve"> a</w:t>
      </w:r>
      <w:r w:rsidR="00880B29" w:rsidRPr="00880B29">
        <w:t>nalytické zhodnocení a z hodnocení vzešlé návrhy optimalizačních opatření řešení vybraných životních událostí</w:t>
      </w:r>
      <w:r w:rsidR="00880B29">
        <w:t xml:space="preserve">, </w:t>
      </w:r>
      <w:r w:rsidR="00880B29" w:rsidRPr="00880B29">
        <w:t>provedení potřebných analýz předcházejících efektivní elektronizaci vybraných částí veřejné správy</w:t>
      </w:r>
      <w:r w:rsidR="004D79BC" w:rsidRPr="004D79BC">
        <w:t xml:space="preserve"> provedení potřebných analýz předcházejících efektivní tvorbě e-služeb pro potřeby transakční části portálu gov.cz</w:t>
      </w:r>
      <w:r w:rsidR="004D79BC">
        <w:t>, v</w:t>
      </w:r>
      <w:r w:rsidR="004D79BC" w:rsidRPr="004D79BC">
        <w:t>ytvoření srozumitelných a jednotných popisů služeb veřejné správy včetně doplnění adres, kde jsou jednotlivé služby poskytovány</w:t>
      </w:r>
      <w:r w:rsidR="004D79BC">
        <w:t>, v</w:t>
      </w:r>
      <w:r w:rsidR="004D79BC" w:rsidRPr="004D79BC">
        <w:t>ytvoření osnov vzdělávacího programu pro představené/vedoucí pracovníky i pro úředníky</w:t>
      </w:r>
      <w:r w:rsidR="004D79BC">
        <w:t>, p</w:t>
      </w:r>
      <w:r w:rsidR="004D79BC" w:rsidRPr="004D79BC">
        <w:t>ilotní realizac</w:t>
      </w:r>
      <w:r w:rsidR="004D79BC">
        <w:t>i</w:t>
      </w:r>
      <w:r w:rsidR="004D79BC" w:rsidRPr="004D79BC">
        <w:t xml:space="preserve"> vzdělávacího programu pro představené/vedoucí pracovníky i úředníky</w:t>
      </w:r>
      <w:r w:rsidR="004D79BC">
        <w:t>, z</w:t>
      </w:r>
      <w:r w:rsidR="004D79BC" w:rsidRPr="004D79BC">
        <w:t>hodnocení úspěšnosti vzdělávacího programu</w:t>
      </w:r>
      <w:r w:rsidR="004D79BC">
        <w:t>, a</w:t>
      </w:r>
      <w:r w:rsidR="004D79BC" w:rsidRPr="004D79BC">
        <w:t xml:space="preserve">nalytické </w:t>
      </w:r>
      <w:r w:rsidR="004D79BC" w:rsidRPr="004D79BC">
        <w:lastRenderedPageBreak/>
        <w:t>zhodnocení modifikace soutěže Přívětivý úřad dle zahraniční i domácí praxe</w:t>
      </w:r>
      <w:r w:rsidR="004D79BC">
        <w:t>, v</w:t>
      </w:r>
      <w:r w:rsidR="004D79BC" w:rsidRPr="004D79BC">
        <w:t>ýběr technického řešení elektronické matriky</w:t>
      </w:r>
      <w:r w:rsidR="004D79BC">
        <w:t>, v</w:t>
      </w:r>
      <w:r w:rsidR="004D79BC" w:rsidRPr="004D79BC">
        <w:t>ypracování návrhu nového zákona o matrikách</w:t>
      </w:r>
      <w:r w:rsidR="004D79BC">
        <w:t xml:space="preserve"> a z</w:t>
      </w:r>
      <w:r w:rsidR="004D79BC" w:rsidRPr="004D79BC">
        <w:t>pracování Public Governance Review</w:t>
      </w:r>
      <w:r w:rsidR="004D79BC">
        <w:t>.</w:t>
      </w:r>
      <w:r w:rsidR="003A4B5B">
        <w:t xml:space="preserve"> Další 3 aktivity byly identifikovány</w:t>
      </w:r>
      <w:r w:rsidR="008F7D3C">
        <w:t xml:space="preserve"> pro plnění </w:t>
      </w:r>
      <w:r w:rsidR="003A4B5B">
        <w:t>i v následujícím období</w:t>
      </w:r>
      <w:r w:rsidR="00026B89">
        <w:t>. Konkrétně se jedná o v</w:t>
      </w:r>
      <w:r w:rsidR="00026B89" w:rsidRPr="00026B89">
        <w:t>ytvoření průvodců pro řešení vybraných životních událostí občana</w:t>
      </w:r>
      <w:r w:rsidR="00026B89">
        <w:t>, i</w:t>
      </w:r>
      <w:r w:rsidR="00026B89" w:rsidRPr="00026B89">
        <w:t>mplementac</w:t>
      </w:r>
      <w:r w:rsidR="00026B89">
        <w:t>i</w:t>
      </w:r>
      <w:r w:rsidR="00026B89" w:rsidRPr="00026B89">
        <w:t xml:space="preserve"> doporučení analýzy</w:t>
      </w:r>
      <w:r w:rsidR="00026B89">
        <w:t xml:space="preserve"> v</w:t>
      </w:r>
      <w:r w:rsidR="00026B89" w:rsidRPr="00026B89">
        <w:t>ytvoření nových či zdokonalení stávajících nástrojů hodnocení kvality poskytovaných služeb</w:t>
      </w:r>
      <w:r w:rsidR="00026B89">
        <w:t xml:space="preserve"> a</w:t>
      </w:r>
      <w:r w:rsidR="0077778D">
        <w:t> </w:t>
      </w:r>
      <w:r w:rsidR="00026B89">
        <w:t>p</w:t>
      </w:r>
      <w:r w:rsidR="00026B89" w:rsidRPr="00026B89">
        <w:t>odpor</w:t>
      </w:r>
      <w:r w:rsidR="00026B89">
        <w:t>u</w:t>
      </w:r>
      <w:r w:rsidR="00026B89" w:rsidRPr="00026B89">
        <w:t xml:space="preserve"> implementace doporučení</w:t>
      </w:r>
      <w:r w:rsidR="00026B89">
        <w:t xml:space="preserve"> v oblasti h</w:t>
      </w:r>
      <w:r w:rsidR="00026B89" w:rsidRPr="00026B89">
        <w:t>odnocení výkonu veřejné správy v ČR a doporučení pro zlepšení kvality služeb z pohledu OECD</w:t>
      </w:r>
      <w:r w:rsidR="00026B89">
        <w:t xml:space="preserve">. </w:t>
      </w:r>
      <w:r w:rsidR="009A01A9">
        <w:t xml:space="preserve">Ostatní aktivity nebyly </w:t>
      </w:r>
      <w:r w:rsidR="00436A76">
        <w:t>v Akčním plánu na léta 2021</w:t>
      </w:r>
      <w:r w:rsidR="000F0D95">
        <w:t>–</w:t>
      </w:r>
      <w:r w:rsidR="00436A76">
        <w:t xml:space="preserve">2023 </w:t>
      </w:r>
      <w:r w:rsidR="009A01A9">
        <w:t>realizovány</w:t>
      </w:r>
      <w:r w:rsidR="00474391">
        <w:t>.</w:t>
      </w:r>
    </w:p>
    <w:p w14:paraId="78EC3BA4" w14:textId="32D3CA86" w:rsidR="003D637F" w:rsidRDefault="00D3078D" w:rsidP="00622C57">
      <w:pPr>
        <w:spacing w:before="120" w:after="0" w:line="276" w:lineRule="auto"/>
        <w:jc w:val="center"/>
      </w:pPr>
      <w:r>
        <w:rPr>
          <w:noProof/>
        </w:rPr>
        <w:drawing>
          <wp:inline distT="0" distB="0" distL="0" distR="0" wp14:anchorId="020D4908" wp14:editId="0B72DA34">
            <wp:extent cx="5238750" cy="3395663"/>
            <wp:effectExtent l="0" t="0" r="0" b="14605"/>
            <wp:docPr id="12" name="Graf 12">
              <a:extLst xmlns:a="http://schemas.openxmlformats.org/drawingml/2006/main">
                <a:ext uri="{FF2B5EF4-FFF2-40B4-BE49-F238E27FC236}">
                  <a16:creationId xmlns:a16="http://schemas.microsoft.com/office/drawing/2014/main" id="{DBE1D980-94A9-49EB-BE8A-B8B8AE1AB7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E57671" w14:textId="76C2A9C7" w:rsidR="00474391" w:rsidRDefault="00C9394E" w:rsidP="00840F19">
      <w:pPr>
        <w:spacing w:before="120" w:after="0" w:line="276" w:lineRule="auto"/>
        <w:jc w:val="both"/>
      </w:pPr>
      <w:r>
        <w:t xml:space="preserve">V rámci </w:t>
      </w:r>
      <w:r w:rsidRPr="00CD34B7">
        <w:rPr>
          <w:b/>
          <w:bCs/>
        </w:rPr>
        <w:t>Specifického cíle 1.2</w:t>
      </w:r>
      <w:r>
        <w:t xml:space="preserve"> mělo být realizováno celkem 10 aktivit. Splněn</w:t>
      </w:r>
      <w:r w:rsidR="003E2D72">
        <w:t>o bylo celkem 5</w:t>
      </w:r>
      <w:r>
        <w:t xml:space="preserve"> aktivit zaměřen</w:t>
      </w:r>
      <w:r w:rsidR="003E2D72">
        <w:t>ých</w:t>
      </w:r>
      <w:r>
        <w:t xml:space="preserve"> na</w:t>
      </w:r>
      <w:r w:rsidR="00C16389">
        <w:t xml:space="preserve"> </w:t>
      </w:r>
      <w:r w:rsidR="004900CC">
        <w:t>s</w:t>
      </w:r>
      <w:r w:rsidR="004900CC" w:rsidRPr="004900CC">
        <w:t>tanovení kompetencí nově formulovaných obcí II. typu</w:t>
      </w:r>
      <w:r w:rsidR="004900CC">
        <w:t>, z</w:t>
      </w:r>
      <w:r w:rsidR="004900CC" w:rsidRPr="004900CC">
        <w:t>pracování metodologie analýzy zákonných úkolů v oblasti samosprávy</w:t>
      </w:r>
      <w:r w:rsidR="004900CC">
        <w:t>, z</w:t>
      </w:r>
      <w:r w:rsidR="004900CC" w:rsidRPr="004900CC">
        <w:t>pracování analýzy zákonných úkolů v oblasti samosprávy</w:t>
      </w:r>
      <w:r w:rsidR="004900CC">
        <w:t>, z</w:t>
      </w:r>
      <w:r w:rsidR="004900CC" w:rsidRPr="004900CC">
        <w:t>pracování prostorové analýzy dat mobilních operátorů</w:t>
      </w:r>
      <w:r w:rsidR="004900CC">
        <w:t xml:space="preserve"> a z</w:t>
      </w:r>
      <w:r w:rsidR="004900CC" w:rsidRPr="004900CC">
        <w:t>pracování analýzy poskytování služeb veřejné správy občanům mimo území ČR</w:t>
      </w:r>
      <w:r w:rsidR="004900CC">
        <w:t>.</w:t>
      </w:r>
      <w:r w:rsidR="00B47B11">
        <w:t xml:space="preserve"> </w:t>
      </w:r>
      <w:r w:rsidR="008105CD">
        <w:t>V následujícím období b</w:t>
      </w:r>
      <w:r w:rsidR="00183441">
        <w:t>y měla</w:t>
      </w:r>
      <w:r w:rsidR="008105CD">
        <w:t xml:space="preserve"> pokračovat realizace celkem 4 aktivit</w:t>
      </w:r>
      <w:r w:rsidR="000F0D95">
        <w:t>,</w:t>
      </w:r>
      <w:r w:rsidR="008105CD">
        <w:t xml:space="preserve"> a to </w:t>
      </w:r>
      <w:r w:rsidR="00B47B11">
        <w:t>v</w:t>
      </w:r>
      <w:r w:rsidR="00B47B11" w:rsidRPr="00B47B11">
        <w:t>ypracování návrhu legislativních změn včetně jejich projednání</w:t>
      </w:r>
      <w:r w:rsidR="00B47B11">
        <w:t>, v</w:t>
      </w:r>
      <w:r w:rsidR="00B47B11" w:rsidRPr="00B47B11">
        <w:t>ypracování návrhu legislativních změn včetně jejich projednání</w:t>
      </w:r>
      <w:r w:rsidR="00B47B11">
        <w:t>, n</w:t>
      </w:r>
      <w:r w:rsidR="00B47B11" w:rsidRPr="00B47B11">
        <w:t>avržení úprav prostorové optimalizace struktur veřejné správy</w:t>
      </w:r>
      <w:r w:rsidR="00B47B11">
        <w:t xml:space="preserve"> a i</w:t>
      </w:r>
      <w:r w:rsidR="00B47B11" w:rsidRPr="00B47B11">
        <w:t>mplementac</w:t>
      </w:r>
      <w:r w:rsidR="00B47B11">
        <w:t>i</w:t>
      </w:r>
      <w:r w:rsidR="00B47B11" w:rsidRPr="00B47B11">
        <w:t xml:space="preserve"> doporučení analýzy</w:t>
      </w:r>
      <w:r w:rsidR="00B47B11">
        <w:t xml:space="preserve"> pro a</w:t>
      </w:r>
      <w:r w:rsidR="00B47B11" w:rsidRPr="00B47B11">
        <w:t>nalytické zhodnocení poskytování služeb veřejné správy občanům pobývajícím v zahraničí a následné krok</w:t>
      </w:r>
      <w:r w:rsidR="000F0D95">
        <w:t>y</w:t>
      </w:r>
      <w:r w:rsidR="00B47B11">
        <w:t xml:space="preserve">. </w:t>
      </w:r>
      <w:r w:rsidR="00436A76">
        <w:t>Ostatní aktivity nebyly v Akčním plánu na léta 2021</w:t>
      </w:r>
      <w:r w:rsidR="000F0D95">
        <w:t>–</w:t>
      </w:r>
      <w:r w:rsidR="00436A76">
        <w:t>2023 realizovány.</w:t>
      </w:r>
    </w:p>
    <w:p w14:paraId="5BD419C3" w14:textId="54EC4D1F" w:rsidR="008A0F61" w:rsidRDefault="008A0F61" w:rsidP="00840F19">
      <w:pPr>
        <w:spacing w:before="120" w:after="0" w:line="276" w:lineRule="auto"/>
        <w:jc w:val="both"/>
      </w:pPr>
    </w:p>
    <w:p w14:paraId="08577BC7" w14:textId="4CD79E38" w:rsidR="002D2788" w:rsidRDefault="002D2788" w:rsidP="00840F19">
      <w:pPr>
        <w:spacing w:before="120" w:after="0" w:line="276" w:lineRule="auto"/>
        <w:jc w:val="both"/>
      </w:pPr>
      <w:r w:rsidRPr="009C63C1">
        <w:rPr>
          <w:b/>
          <w:bCs/>
        </w:rPr>
        <w:t>Závěr:</w:t>
      </w:r>
      <w:r>
        <w:t xml:space="preserve"> </w:t>
      </w:r>
      <w:r w:rsidR="00DA0276">
        <w:t xml:space="preserve">V rámci </w:t>
      </w:r>
      <w:r>
        <w:t>strategick</w:t>
      </w:r>
      <w:r w:rsidR="00DA0276">
        <w:t>ého</w:t>
      </w:r>
      <w:r>
        <w:t xml:space="preserve"> </w:t>
      </w:r>
      <w:r w:rsidRPr="00AF5605">
        <w:t>cíl</w:t>
      </w:r>
      <w:r w:rsidR="00DA0276" w:rsidRPr="00AF5605">
        <w:t>e</w:t>
      </w:r>
      <w:r w:rsidRPr="00AF5605">
        <w:t xml:space="preserve"> 1 bylo plněno více</w:t>
      </w:r>
      <w:r>
        <w:t xml:space="preserve"> jak 85</w:t>
      </w:r>
      <w:r w:rsidR="005F33E7">
        <w:t> </w:t>
      </w:r>
      <w:r>
        <w:t>% všech aktivit</w:t>
      </w:r>
      <w:r w:rsidR="0088491C">
        <w:t>, přičemž splněno bylo téměř 60</w:t>
      </w:r>
      <w:r w:rsidR="004059E8">
        <w:t> </w:t>
      </w:r>
      <w:r w:rsidR="0088491C">
        <w:t>% z</w:t>
      </w:r>
      <w:r w:rsidR="004059E8">
        <w:t xml:space="preserve"> </w:t>
      </w:r>
      <w:r w:rsidR="0088491C">
        <w:t>nich.</w:t>
      </w:r>
    </w:p>
    <w:p w14:paraId="1A368EB8" w14:textId="77777777" w:rsidR="008A0F61" w:rsidRPr="00C16389" w:rsidRDefault="008A0F61" w:rsidP="00840F19">
      <w:pPr>
        <w:spacing w:before="120" w:after="0" w:line="276" w:lineRule="auto"/>
        <w:jc w:val="both"/>
      </w:pPr>
    </w:p>
    <w:p w14:paraId="3524DBA2" w14:textId="6AB6C58E" w:rsidR="00474391" w:rsidRPr="003D637F" w:rsidRDefault="00905C3A" w:rsidP="005A7E25">
      <w:pPr>
        <w:spacing w:before="120" w:after="0" w:line="276" w:lineRule="auto"/>
        <w:jc w:val="center"/>
      </w:pPr>
      <w:r>
        <w:rPr>
          <w:noProof/>
        </w:rPr>
        <w:lastRenderedPageBreak/>
        <w:drawing>
          <wp:inline distT="0" distB="0" distL="0" distR="0" wp14:anchorId="00C5CA68" wp14:editId="1B6C137E">
            <wp:extent cx="5219700" cy="2743200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4D4E2E9B-212A-4674-8E03-B5F0E9BC68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2CAFB3" w14:textId="77777777" w:rsidR="00AC2D69" w:rsidRDefault="00AC2D69" w:rsidP="003D637F">
      <w:pPr>
        <w:pStyle w:val="Titulek"/>
        <w:rPr>
          <w:b/>
          <w:bCs/>
          <w:i w:val="0"/>
          <w:iCs w:val="0"/>
          <w:color w:val="auto"/>
        </w:rPr>
      </w:pPr>
    </w:p>
    <w:p w14:paraId="46F43AFC" w14:textId="04E470AF" w:rsidR="004059E8" w:rsidRPr="00474391" w:rsidRDefault="004059E8" w:rsidP="004059E8">
      <w:pPr>
        <w:spacing w:before="120" w:after="0" w:line="276" w:lineRule="auto"/>
        <w:jc w:val="both"/>
        <w:rPr>
          <w:b/>
          <w:bCs/>
        </w:rPr>
      </w:pPr>
      <w:r w:rsidRPr="00474391">
        <w:rPr>
          <w:b/>
          <w:bCs/>
        </w:rPr>
        <w:t xml:space="preserve">Strategický cíl </w:t>
      </w:r>
      <w:r>
        <w:rPr>
          <w:b/>
          <w:bCs/>
        </w:rPr>
        <w:t>2</w:t>
      </w:r>
      <w:r w:rsidRPr="00474391">
        <w:rPr>
          <w:b/>
          <w:bCs/>
        </w:rPr>
        <w:t>:</w:t>
      </w:r>
    </w:p>
    <w:p w14:paraId="2287BD06" w14:textId="4FCD6E74" w:rsidR="004059E8" w:rsidRDefault="004059E8" w:rsidP="004059E8">
      <w:pPr>
        <w:spacing w:before="120" w:after="0" w:line="276" w:lineRule="auto"/>
        <w:jc w:val="both"/>
      </w:pPr>
      <w:r>
        <w:t xml:space="preserve">Uvedený Strategický cíl se skládá z celkem </w:t>
      </w:r>
      <w:r w:rsidR="00712092">
        <w:t>5</w:t>
      </w:r>
      <w:r>
        <w:t xml:space="preserve"> specifických cílů a to:</w:t>
      </w:r>
    </w:p>
    <w:p w14:paraId="4C6B6319" w14:textId="77D60D87" w:rsidR="004059E8" w:rsidRPr="004059E8" w:rsidRDefault="004059E8" w:rsidP="004059E8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>Specifický cíl 2.1 Posílit řídící a koordinační mechanismy,</w:t>
      </w:r>
    </w:p>
    <w:p w14:paraId="43FF7B1A" w14:textId="17B4BF12" w:rsidR="00712092" w:rsidRDefault="004059E8" w:rsidP="004059E8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>Specifický cíl 2.2 Zefektivnit kontrolní mechanismy v oblasti nakládání s veřejnými prostředky</w:t>
      </w:r>
      <w:r w:rsidR="006719C1">
        <w:rPr>
          <w:b/>
          <w:bCs/>
        </w:rPr>
        <w:t>,</w:t>
      </w:r>
    </w:p>
    <w:p w14:paraId="4EC5A0B4" w14:textId="0C12E664" w:rsidR="004059E8" w:rsidRDefault="00712092" w:rsidP="004059E8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Pr="00712092">
        <w:rPr>
          <w:b/>
          <w:bCs/>
        </w:rPr>
        <w:t>2.3 Zlepšit právní prostředí</w:t>
      </w:r>
      <w:r w:rsidR="006719C1">
        <w:rPr>
          <w:b/>
          <w:bCs/>
        </w:rPr>
        <w:t>,</w:t>
      </w:r>
    </w:p>
    <w:p w14:paraId="059AE6A9" w14:textId="4C1D3D6E" w:rsidR="00712092" w:rsidRDefault="00712092" w:rsidP="004059E8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Pr="00712092">
        <w:rPr>
          <w:b/>
          <w:bCs/>
        </w:rPr>
        <w:t>2.4 Zefektivnit spolupráci obcí</w:t>
      </w:r>
      <w:r w:rsidR="006719C1">
        <w:rPr>
          <w:b/>
          <w:bCs/>
        </w:rPr>
        <w:t>,</w:t>
      </w:r>
    </w:p>
    <w:p w14:paraId="1EB82D18" w14:textId="18CA7A28" w:rsidR="00712092" w:rsidRPr="004059E8" w:rsidRDefault="00712092" w:rsidP="004059E8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Pr="00712092">
        <w:rPr>
          <w:b/>
          <w:bCs/>
        </w:rPr>
        <w:t>2.5 Vytvořit prostředí podporující inovace a rozvíjet AI a automatizaci</w:t>
      </w:r>
      <w:r w:rsidR="006719C1">
        <w:rPr>
          <w:b/>
          <w:bCs/>
        </w:rPr>
        <w:t>.</w:t>
      </w:r>
    </w:p>
    <w:p w14:paraId="3D07FF28" w14:textId="0FAC454E" w:rsidR="00AC2D69" w:rsidRPr="00F23BDE" w:rsidRDefault="003B3C27" w:rsidP="00F23BDE">
      <w:pPr>
        <w:spacing w:before="120" w:after="0" w:line="276" w:lineRule="auto"/>
        <w:jc w:val="both"/>
      </w:pPr>
      <w:r>
        <w:t xml:space="preserve">V rámci </w:t>
      </w:r>
      <w:r w:rsidRPr="00934CA0">
        <w:rPr>
          <w:b/>
          <w:bCs/>
        </w:rPr>
        <w:t>Specifického cíle 2.1</w:t>
      </w:r>
      <w:r>
        <w:t xml:space="preserve"> mělo být realizováno celkem </w:t>
      </w:r>
      <w:r w:rsidR="0048098B">
        <w:t>5</w:t>
      </w:r>
      <w:r>
        <w:t xml:space="preserve"> aktivit. Splněny byly aktivity zaměřené na </w:t>
      </w:r>
      <w:r w:rsidR="00A7281F">
        <w:t>v</w:t>
      </w:r>
      <w:r w:rsidR="00A7281F" w:rsidRPr="00A7281F">
        <w:t>ypracování analýzy řízení veřejné správy v zahraničních zemích</w:t>
      </w:r>
      <w:r w:rsidR="00A7281F">
        <w:t xml:space="preserve">, </w:t>
      </w:r>
      <w:r w:rsidR="00BC5851">
        <w:t>a</w:t>
      </w:r>
      <w:r w:rsidR="00BC5851" w:rsidRPr="00BC5851">
        <w:t>nalytické zhodnocení legislativně i</w:t>
      </w:r>
      <w:r w:rsidR="00BC5851">
        <w:t> </w:t>
      </w:r>
      <w:r w:rsidR="00BC5851" w:rsidRPr="00BC5851">
        <w:t>nelegislativně ukotvených a reálně vykonávaných kompetencí ústředních orgánů státní správy</w:t>
      </w:r>
      <w:r w:rsidR="00BC5851">
        <w:t>, a</w:t>
      </w:r>
      <w:r w:rsidR="00BC5851" w:rsidRPr="00BC5851">
        <w:t>nalytické zhodnocení aktuálních problémů řízení přenesené působnosti</w:t>
      </w:r>
      <w:r w:rsidR="00BC5851">
        <w:t xml:space="preserve">, </w:t>
      </w:r>
      <w:r w:rsidR="005A7E25">
        <w:t>v</w:t>
      </w:r>
      <w:r w:rsidR="00BC5851" w:rsidRPr="00BC5851">
        <w:t>ypracování podkladu pro úpravu financování příspěvku na přenesenou působnost u agendy č. 1</w:t>
      </w:r>
      <w:r w:rsidR="005A7E25">
        <w:t xml:space="preserve"> a v</w:t>
      </w:r>
      <w:r w:rsidR="005A7E25" w:rsidRPr="005A7E25">
        <w:t>ypracování podkladu pro úpravu financování příspěvku na přenesenou působnost u agendy č. 2</w:t>
      </w:r>
      <w:r w:rsidR="005A7E25">
        <w:t xml:space="preserve">. </w:t>
      </w:r>
      <w:r w:rsidR="00934CA0">
        <w:t>Ostatní aktivity nebyly v Akčním plánu na léta 2021</w:t>
      </w:r>
      <w:r w:rsidR="000F0D95">
        <w:t>–</w:t>
      </w:r>
      <w:r w:rsidR="00934CA0">
        <w:t>2023 realizovány.</w:t>
      </w:r>
    </w:p>
    <w:p w14:paraId="51C14F58" w14:textId="3D30EAE7" w:rsidR="00AC2D69" w:rsidRDefault="00F23BDE" w:rsidP="005A7E25">
      <w:pPr>
        <w:pStyle w:val="Titulek"/>
        <w:jc w:val="center"/>
        <w:rPr>
          <w:b/>
          <w:bCs/>
          <w:i w:val="0"/>
          <w:iCs w:val="0"/>
          <w:color w:val="auto"/>
        </w:rPr>
      </w:pPr>
      <w:r>
        <w:rPr>
          <w:noProof/>
        </w:rPr>
        <w:lastRenderedPageBreak/>
        <w:drawing>
          <wp:inline distT="0" distB="0" distL="0" distR="0" wp14:anchorId="18B06B73" wp14:editId="3CD2BC1E">
            <wp:extent cx="4572000" cy="2743200"/>
            <wp:effectExtent l="0" t="0" r="0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94C35DF-7ED0-407C-9DAC-D2BD6F1140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A322C0" w14:textId="19145E2D" w:rsidR="00E116E4" w:rsidRPr="00F23BDE" w:rsidRDefault="00E116E4" w:rsidP="000F0D95">
      <w:pPr>
        <w:spacing w:before="120" w:after="120" w:line="276" w:lineRule="auto"/>
        <w:jc w:val="both"/>
      </w:pPr>
      <w:r>
        <w:t xml:space="preserve">V rámci </w:t>
      </w:r>
      <w:r w:rsidRPr="00934CA0">
        <w:rPr>
          <w:b/>
          <w:bCs/>
        </w:rPr>
        <w:t>Specifického cíle 2.</w:t>
      </w:r>
      <w:r w:rsidR="00EC3ABC">
        <w:rPr>
          <w:b/>
          <w:bCs/>
        </w:rPr>
        <w:t>2</w:t>
      </w:r>
      <w:r>
        <w:t xml:space="preserve"> měl</w:t>
      </w:r>
      <w:r w:rsidR="00A510B9">
        <w:t>y</w:t>
      </w:r>
      <w:r>
        <w:t xml:space="preserve"> být realizován</w:t>
      </w:r>
      <w:r w:rsidR="00A510B9">
        <w:t>y</w:t>
      </w:r>
      <w:r>
        <w:t xml:space="preserve"> celkem </w:t>
      </w:r>
      <w:r w:rsidR="00A510B9">
        <w:t>4</w:t>
      </w:r>
      <w:r>
        <w:t xml:space="preserve"> aktivit</w:t>
      </w:r>
      <w:r w:rsidR="00A510B9">
        <w:t>y</w:t>
      </w:r>
      <w:r>
        <w:t xml:space="preserve">. Splněny byly </w:t>
      </w:r>
      <w:r w:rsidR="00A26F97">
        <w:t xml:space="preserve">celkem 2 </w:t>
      </w:r>
      <w:r>
        <w:t xml:space="preserve">aktivity zaměřené na </w:t>
      </w:r>
      <w:r w:rsidR="0077012B">
        <w:t>p</w:t>
      </w:r>
      <w:r w:rsidR="0077012B" w:rsidRPr="0077012B">
        <w:t>osouzení stávajícího systému řízení a kontroly veřejných financí</w:t>
      </w:r>
      <w:r w:rsidR="0077012B">
        <w:t xml:space="preserve"> a p</w:t>
      </w:r>
      <w:r w:rsidR="0077012B" w:rsidRPr="0077012B">
        <w:t>říprava věcného záměru včetně veřejných konzultací</w:t>
      </w:r>
      <w:r>
        <w:t xml:space="preserve">. </w:t>
      </w:r>
      <w:r w:rsidR="00A510B9">
        <w:t>V následujícím období b</w:t>
      </w:r>
      <w:r w:rsidR="00183441">
        <w:t>y měla</w:t>
      </w:r>
      <w:r w:rsidR="00A510B9">
        <w:t xml:space="preserve"> pokračovat realizace celkem </w:t>
      </w:r>
      <w:r w:rsidR="0077012B">
        <w:t>2</w:t>
      </w:r>
      <w:r w:rsidR="00A510B9">
        <w:t xml:space="preserve"> aktivit</w:t>
      </w:r>
      <w:r w:rsidR="00B5722B">
        <w:t>,</w:t>
      </w:r>
      <w:r w:rsidR="00A510B9">
        <w:t xml:space="preserve"> a to</w:t>
      </w:r>
      <w:r w:rsidR="002D3D7B">
        <w:t xml:space="preserve"> v</w:t>
      </w:r>
      <w:r w:rsidR="002D3D7B" w:rsidRPr="002D3D7B">
        <w:t>ytvoření pracovní skupiny a zpracování potřebné analytické báze</w:t>
      </w:r>
      <w:r w:rsidR="002D3D7B">
        <w:t xml:space="preserve"> a p</w:t>
      </w:r>
      <w:r w:rsidR="002D3D7B" w:rsidRPr="002D3D7B">
        <w:t>ravidelné informování veřejnosti o</w:t>
      </w:r>
      <w:r w:rsidR="00734BA8">
        <w:t xml:space="preserve"> </w:t>
      </w:r>
      <w:r w:rsidR="002D3D7B" w:rsidRPr="002D3D7B">
        <w:t>výsledcích analýz, prováděných v rámci činnosti pracovní skupiny</w:t>
      </w:r>
      <w:r w:rsidR="002D3D7B">
        <w:t>.</w:t>
      </w:r>
    </w:p>
    <w:p w14:paraId="2CEB4206" w14:textId="563A21A1" w:rsidR="00AC2D69" w:rsidRDefault="002D3D7B" w:rsidP="005A7E25">
      <w:pPr>
        <w:pStyle w:val="Titulek"/>
        <w:jc w:val="center"/>
        <w:rPr>
          <w:b/>
          <w:bCs/>
          <w:i w:val="0"/>
          <w:iCs w:val="0"/>
          <w:color w:val="auto"/>
        </w:rPr>
      </w:pPr>
      <w:r>
        <w:rPr>
          <w:noProof/>
        </w:rPr>
        <w:drawing>
          <wp:inline distT="0" distB="0" distL="0" distR="0" wp14:anchorId="0F28FC47" wp14:editId="195EE1A5">
            <wp:extent cx="4572000" cy="2743200"/>
            <wp:effectExtent l="0" t="0" r="0" b="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DBD9F696-0986-4876-8094-F6BE44F9C4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A46EE8" w14:textId="33C3F07B" w:rsidR="002D3D7B" w:rsidRPr="00F23BDE" w:rsidRDefault="002D3D7B" w:rsidP="002E11B1">
      <w:pPr>
        <w:spacing w:before="120" w:after="120" w:line="276" w:lineRule="auto"/>
        <w:jc w:val="both"/>
      </w:pPr>
      <w:r>
        <w:t xml:space="preserve">V rámci </w:t>
      </w:r>
      <w:r w:rsidRPr="00934CA0">
        <w:rPr>
          <w:b/>
          <w:bCs/>
        </w:rPr>
        <w:t>Specifického cíle 2.</w:t>
      </w:r>
      <w:r>
        <w:rPr>
          <w:b/>
          <w:bCs/>
        </w:rPr>
        <w:t>3</w:t>
      </w:r>
      <w:r>
        <w:t xml:space="preserve"> mělo být realizován</w:t>
      </w:r>
      <w:r w:rsidR="00A472D8">
        <w:t>o</w:t>
      </w:r>
      <w:r>
        <w:t xml:space="preserve"> celkem 6 aktivit. Splněny byly </w:t>
      </w:r>
      <w:r w:rsidR="00734BA8">
        <w:t xml:space="preserve">celkem 2 </w:t>
      </w:r>
      <w:r>
        <w:t>aktivity zaměřené na</w:t>
      </w:r>
      <w:r w:rsidR="0062314E">
        <w:t xml:space="preserve"> procesní nastavení a metodické vedení </w:t>
      </w:r>
      <w:r w:rsidR="00DB66C9">
        <w:t>revize a úprav O</w:t>
      </w:r>
      <w:r w:rsidR="007B3779">
        <w:t xml:space="preserve">becných zásad </w:t>
      </w:r>
      <w:r w:rsidR="00DB66C9">
        <w:t xml:space="preserve">pro </w:t>
      </w:r>
      <w:r w:rsidR="007B3779">
        <w:t xml:space="preserve">RIA </w:t>
      </w:r>
      <w:r w:rsidR="0062314E">
        <w:t>a</w:t>
      </w:r>
      <w:r w:rsidR="00DB66C9">
        <w:t> </w:t>
      </w:r>
      <w:r w:rsidR="0062314E">
        <w:t>vybudování databáze všech platných právních předpisů územních samosprávných celků a některých správních úřadů v rámci existujícího informačního systému</w:t>
      </w:r>
      <w:r w:rsidR="00D93774">
        <w:t xml:space="preserve">. </w:t>
      </w:r>
      <w:r>
        <w:t>V následujícím období</w:t>
      </w:r>
      <w:r w:rsidR="0010276A">
        <w:t xml:space="preserve"> (2024–2026)</w:t>
      </w:r>
      <w:r>
        <w:t xml:space="preserve"> b</w:t>
      </w:r>
      <w:r w:rsidR="00183441">
        <w:t>y měla</w:t>
      </w:r>
      <w:r>
        <w:t xml:space="preserve"> pokračovat realizace celkem </w:t>
      </w:r>
      <w:r w:rsidR="00E034D6">
        <w:t>3</w:t>
      </w:r>
      <w:r>
        <w:t xml:space="preserve"> aktivit</w:t>
      </w:r>
      <w:r w:rsidR="00A472D8">
        <w:t>,</w:t>
      </w:r>
      <w:r>
        <w:t xml:space="preserve"> a to </w:t>
      </w:r>
      <w:r w:rsidR="004364C9">
        <w:t>k</w:t>
      </w:r>
      <w:r w:rsidR="004364C9" w:rsidRPr="004364C9">
        <w:t>ontrola provádění RIA (v podobě Závěrečné zprávy z</w:t>
      </w:r>
      <w:r w:rsidR="00DB66C9">
        <w:t> </w:t>
      </w:r>
      <w:r w:rsidR="004364C9" w:rsidRPr="004364C9">
        <w:t>RIA, důvodové zprávy, odůvodnění)</w:t>
      </w:r>
      <w:r w:rsidR="004E1528">
        <w:t>,</w:t>
      </w:r>
      <w:r w:rsidR="0010276A">
        <w:t xml:space="preserve"> dále procesní nastavení a metodické vedení</w:t>
      </w:r>
      <w:r w:rsidR="004E1528">
        <w:t xml:space="preserve"> revize a úprav Obecných zásad </w:t>
      </w:r>
      <w:r w:rsidR="00DB66C9">
        <w:t xml:space="preserve">pro </w:t>
      </w:r>
      <w:r w:rsidR="004E1528">
        <w:t>RIA</w:t>
      </w:r>
      <w:r w:rsidR="00296B62">
        <w:t xml:space="preserve"> (pokračující aktivita z</w:t>
      </w:r>
      <w:r w:rsidR="00DB66C9">
        <w:t xml:space="preserve"> </w:t>
      </w:r>
      <w:r w:rsidR="00296B62">
        <w:t>1. AP)</w:t>
      </w:r>
      <w:r w:rsidR="0010276A">
        <w:t>,</w:t>
      </w:r>
      <w:r w:rsidR="004364C9">
        <w:t xml:space="preserve"> a</w:t>
      </w:r>
      <w:r w:rsidR="00734BA8">
        <w:t> </w:t>
      </w:r>
      <w:r w:rsidR="00D93774">
        <w:t>r</w:t>
      </w:r>
      <w:r w:rsidR="004364C9" w:rsidRPr="004364C9">
        <w:t>ealizace konzultací a seminářů pro zpracovatele RIA</w:t>
      </w:r>
      <w:r>
        <w:t>.</w:t>
      </w:r>
      <w:r w:rsidR="00C61F62">
        <w:t xml:space="preserve"> Ostatní aktivity nebyly v Akčním plánu na léta 2021</w:t>
      </w:r>
      <w:r w:rsidR="00A472D8">
        <w:t>–</w:t>
      </w:r>
      <w:r w:rsidR="00C61F62">
        <w:t>2023 realizovány.</w:t>
      </w:r>
    </w:p>
    <w:p w14:paraId="1FF36EFB" w14:textId="6B5994F5" w:rsidR="00AC2D69" w:rsidRDefault="000D2B62" w:rsidP="00A463A5">
      <w:pPr>
        <w:pStyle w:val="Titulek"/>
        <w:jc w:val="center"/>
        <w:rPr>
          <w:b/>
          <w:bCs/>
          <w:i w:val="0"/>
          <w:iCs w:val="0"/>
          <w:color w:val="auto"/>
        </w:rPr>
      </w:pPr>
      <w:r>
        <w:rPr>
          <w:noProof/>
        </w:rPr>
        <w:lastRenderedPageBreak/>
        <w:drawing>
          <wp:inline distT="0" distB="0" distL="0" distR="0" wp14:anchorId="66B45A3C" wp14:editId="08672DBF">
            <wp:extent cx="4572000" cy="2743200"/>
            <wp:effectExtent l="0" t="0" r="0" b="0"/>
            <wp:docPr id="13" name="Graf 13">
              <a:extLst xmlns:a="http://schemas.openxmlformats.org/drawingml/2006/main">
                <a:ext uri="{FF2B5EF4-FFF2-40B4-BE49-F238E27FC236}">
                  <a16:creationId xmlns:a16="http://schemas.microsoft.com/office/drawing/2014/main" id="{AE65C8CD-1D48-481E-A87E-7DFBE077E6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2D85CD" w14:textId="57A8FB57" w:rsidR="00E26E98" w:rsidRDefault="00E26E98" w:rsidP="00E26E98">
      <w:pPr>
        <w:spacing w:before="120" w:after="0" w:line="276" w:lineRule="auto"/>
        <w:jc w:val="both"/>
      </w:pPr>
      <w:r>
        <w:t xml:space="preserve">V rámci </w:t>
      </w:r>
      <w:r w:rsidRPr="00934CA0">
        <w:rPr>
          <w:b/>
          <w:bCs/>
        </w:rPr>
        <w:t>Specifického cíle 2.</w:t>
      </w:r>
      <w:r>
        <w:rPr>
          <w:b/>
          <w:bCs/>
        </w:rPr>
        <w:t>4</w:t>
      </w:r>
      <w:r>
        <w:t xml:space="preserve"> měl</w:t>
      </w:r>
      <w:r w:rsidR="00A942C8">
        <w:t>y</w:t>
      </w:r>
      <w:r>
        <w:t xml:space="preserve"> být realizovány celkem </w:t>
      </w:r>
      <w:r w:rsidR="00A942C8">
        <w:t>3</w:t>
      </w:r>
      <w:r>
        <w:t xml:space="preserve"> aktivity. Splněn</w:t>
      </w:r>
      <w:r w:rsidR="00A942C8">
        <w:t>a</w:t>
      </w:r>
      <w:r>
        <w:t xml:space="preserve"> byl</w:t>
      </w:r>
      <w:r w:rsidR="00A942C8">
        <w:t>a</w:t>
      </w:r>
      <w:r>
        <w:t xml:space="preserve"> aktivit</w:t>
      </w:r>
      <w:r w:rsidR="00A472D8">
        <w:t>a</w:t>
      </w:r>
      <w:r>
        <w:t xml:space="preserve"> zaměřen</w:t>
      </w:r>
      <w:r w:rsidR="00A942C8">
        <w:t>á</w:t>
      </w:r>
      <w:r>
        <w:t xml:space="preserve"> na</w:t>
      </w:r>
      <w:r w:rsidR="00A942C8">
        <w:t xml:space="preserve"> </w:t>
      </w:r>
      <w:r w:rsidR="00D50251">
        <w:t>k</w:t>
      </w:r>
      <w:r w:rsidR="00A942C8" w:rsidRPr="00A942C8">
        <w:t>omparac</w:t>
      </w:r>
      <w:r w:rsidR="00A942C8">
        <w:t>i</w:t>
      </w:r>
      <w:r w:rsidR="00A942C8" w:rsidRPr="00A942C8">
        <w:t xml:space="preserve"> způsobů fungování meziobecní spolupráce v aglomeracích</w:t>
      </w:r>
      <w:r w:rsidR="00A942C8">
        <w:t xml:space="preserve">. </w:t>
      </w:r>
      <w:r>
        <w:t>V následujícím období b</w:t>
      </w:r>
      <w:r w:rsidR="00183441">
        <w:t>y měla</w:t>
      </w:r>
      <w:r>
        <w:t xml:space="preserve"> pokračovat realizace </w:t>
      </w:r>
      <w:r w:rsidR="00A942C8">
        <w:t>1</w:t>
      </w:r>
      <w:r>
        <w:t xml:space="preserve"> aktivit</w:t>
      </w:r>
      <w:r w:rsidR="00A472D8">
        <w:t>y,</w:t>
      </w:r>
      <w:r>
        <w:t xml:space="preserve"> a to </w:t>
      </w:r>
      <w:r w:rsidR="00A942C8">
        <w:t>d</w:t>
      </w:r>
      <w:r w:rsidR="00A942C8" w:rsidRPr="00A942C8">
        <w:t>efinice a případné vytvoření dotačního mechanismu</w:t>
      </w:r>
      <w:r w:rsidR="00D50251">
        <w:t xml:space="preserve"> v</w:t>
      </w:r>
      <w:r w:rsidR="00845D89">
        <w:t xml:space="preserve"> </w:t>
      </w:r>
      <w:r w:rsidR="00D50251">
        <w:t>rámci p</w:t>
      </w:r>
      <w:r w:rsidR="00D50251" w:rsidRPr="00D50251">
        <w:t>odpor</w:t>
      </w:r>
      <w:r w:rsidR="00D50251">
        <w:t>y</w:t>
      </w:r>
      <w:r w:rsidR="00D50251" w:rsidRPr="00D50251">
        <w:t xml:space="preserve"> meziobecní spolupráce ve správních obvodech obcí s rozšířenou působností coby přirozených mikroregionálních center</w:t>
      </w:r>
      <w:r>
        <w:t>. Ostatní aktivity nebyly v Akčním plánu na léta 2021</w:t>
      </w:r>
      <w:r w:rsidR="003156DF">
        <w:t>–</w:t>
      </w:r>
      <w:r>
        <w:t>2023 realizovány.</w:t>
      </w:r>
    </w:p>
    <w:p w14:paraId="5432C980" w14:textId="360EF5E2" w:rsidR="00D50251" w:rsidRPr="00F23BDE" w:rsidRDefault="000D2B62" w:rsidP="00A463A5">
      <w:pPr>
        <w:spacing w:before="120" w:after="0" w:line="276" w:lineRule="auto"/>
        <w:jc w:val="center"/>
      </w:pPr>
      <w:r>
        <w:rPr>
          <w:noProof/>
        </w:rPr>
        <w:drawing>
          <wp:inline distT="0" distB="0" distL="0" distR="0" wp14:anchorId="76FBC274" wp14:editId="615B840E">
            <wp:extent cx="4572000" cy="2743200"/>
            <wp:effectExtent l="0" t="0" r="0" b="0"/>
            <wp:docPr id="14" name="Graf 14">
              <a:extLst xmlns:a="http://schemas.openxmlformats.org/drawingml/2006/main">
                <a:ext uri="{FF2B5EF4-FFF2-40B4-BE49-F238E27FC236}">
                  <a16:creationId xmlns:a16="http://schemas.microsoft.com/office/drawing/2014/main" id="{A6FF4E0D-473E-4E08-8DF8-0C585A39A4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5FA560" w14:textId="67A09672" w:rsidR="00D50251" w:rsidRPr="00D50251" w:rsidRDefault="00D50251" w:rsidP="0013378C">
      <w:pPr>
        <w:spacing w:before="120" w:after="0" w:line="276" w:lineRule="auto"/>
        <w:jc w:val="both"/>
      </w:pPr>
      <w:r>
        <w:t xml:space="preserve">V rámci </w:t>
      </w:r>
      <w:r w:rsidRPr="00934CA0">
        <w:rPr>
          <w:b/>
          <w:bCs/>
        </w:rPr>
        <w:t>Specifického cíle 2.</w:t>
      </w:r>
      <w:r>
        <w:rPr>
          <w:b/>
          <w:bCs/>
        </w:rPr>
        <w:t>5</w:t>
      </w:r>
      <w:r>
        <w:t xml:space="preserve"> měly být realizovány celkem 3 aktivity. Splněny byly </w:t>
      </w:r>
      <w:r w:rsidR="00845D89">
        <w:t xml:space="preserve">celkem 2 </w:t>
      </w:r>
      <w:r>
        <w:t xml:space="preserve">aktivity zaměřené na </w:t>
      </w:r>
      <w:r w:rsidR="0013378C">
        <w:t>v</w:t>
      </w:r>
      <w:r w:rsidRPr="00D50251">
        <w:t xml:space="preserve">ypracování analýzy fungování inovačního systému v české veřejné správě, organizace pravidelných setkání </w:t>
      </w:r>
      <w:r w:rsidR="00DA5372">
        <w:t>pracovní skupiny</w:t>
      </w:r>
      <w:r w:rsidRPr="00D50251">
        <w:t xml:space="preserve"> pro inovace ve veřejné správě v rámci RVVS, účast na platformě OPSI</w:t>
      </w:r>
      <w:r w:rsidR="0013378C">
        <w:t xml:space="preserve"> a v</w:t>
      </w:r>
      <w:r w:rsidR="0013378C" w:rsidRPr="0013378C">
        <w:t>ypracování analýzy zhodnocení potenciálu využití automatizace/umělé inteligence v agendách veřejné správy</w:t>
      </w:r>
      <w:r w:rsidR="0013378C">
        <w:t>.</w:t>
      </w:r>
      <w:r w:rsidR="006D7FCB">
        <w:t xml:space="preserve"> </w:t>
      </w:r>
      <w:r>
        <w:t>V</w:t>
      </w:r>
      <w:r w:rsidR="00DA5372">
        <w:t xml:space="preserve"> </w:t>
      </w:r>
      <w:r>
        <w:t>následujícím období b</w:t>
      </w:r>
      <w:r w:rsidR="00183441">
        <w:t>y měla</w:t>
      </w:r>
      <w:r>
        <w:t xml:space="preserve"> pokračovat realizace 1 aktivit</w:t>
      </w:r>
      <w:r w:rsidR="003156DF">
        <w:t>y,</w:t>
      </w:r>
      <w:r>
        <w:t xml:space="preserve"> a to </w:t>
      </w:r>
      <w:r w:rsidR="0013378C">
        <w:t>a</w:t>
      </w:r>
      <w:r w:rsidR="0013378C" w:rsidRPr="0013378C">
        <w:t>plikace doporučení k</w:t>
      </w:r>
      <w:r w:rsidR="00DA5372">
        <w:t> </w:t>
      </w:r>
      <w:r w:rsidR="0013378C" w:rsidRPr="0013378C">
        <w:t>systémovému uchopení inovací v české veřejné správě</w:t>
      </w:r>
      <w:r w:rsidR="0013378C">
        <w:t>.</w:t>
      </w:r>
    </w:p>
    <w:p w14:paraId="4DFEE862" w14:textId="77777777" w:rsidR="0013378C" w:rsidRDefault="0013378C" w:rsidP="00A463A5">
      <w:pPr>
        <w:jc w:val="center"/>
      </w:pPr>
      <w:r>
        <w:rPr>
          <w:noProof/>
        </w:rPr>
        <w:lastRenderedPageBreak/>
        <w:drawing>
          <wp:inline distT="0" distB="0" distL="0" distR="0" wp14:anchorId="24FBA7B7" wp14:editId="23DDE6E9">
            <wp:extent cx="4572000" cy="2743200"/>
            <wp:effectExtent l="0" t="0" r="0" b="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C9365A76-6A48-413E-8F5A-2783A4D90D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3A3CDE9" w14:textId="77777777" w:rsidR="0013378C" w:rsidRDefault="0013378C"/>
    <w:p w14:paraId="0E1F2CB4" w14:textId="12F0339E" w:rsidR="0013378C" w:rsidRDefault="0013378C" w:rsidP="0013378C">
      <w:pPr>
        <w:spacing w:before="120" w:after="0" w:line="276" w:lineRule="auto"/>
        <w:jc w:val="both"/>
      </w:pPr>
      <w:r w:rsidRPr="009C63C1">
        <w:rPr>
          <w:b/>
          <w:bCs/>
        </w:rPr>
        <w:t>Závěr:</w:t>
      </w:r>
      <w:r>
        <w:t xml:space="preserve"> V rámci strategického cíle </w:t>
      </w:r>
      <w:r w:rsidR="00CB0B8D">
        <w:t>2</w:t>
      </w:r>
      <w:r>
        <w:t xml:space="preserve"> bylo plněno </w:t>
      </w:r>
      <w:r w:rsidR="008C6F4B">
        <w:t xml:space="preserve">téměř </w:t>
      </w:r>
      <w:r>
        <w:t>8</w:t>
      </w:r>
      <w:r w:rsidR="008C6F4B">
        <w:t>0</w:t>
      </w:r>
      <w:r w:rsidR="003156DF">
        <w:t> </w:t>
      </w:r>
      <w:r>
        <w:t>% všech aktivit, přičemž splněno bylo</w:t>
      </w:r>
      <w:r w:rsidR="008C6F4B">
        <w:t xml:space="preserve"> více jak</w:t>
      </w:r>
      <w:r>
        <w:t xml:space="preserve"> </w:t>
      </w:r>
      <w:r w:rsidR="008C6F4B">
        <w:t>50</w:t>
      </w:r>
      <w:r>
        <w:t> % z nich.</w:t>
      </w:r>
    </w:p>
    <w:p w14:paraId="6DBD9C10" w14:textId="7AFC47A4" w:rsidR="00D50251" w:rsidRDefault="00D50251"/>
    <w:p w14:paraId="6821AF9C" w14:textId="0326274D" w:rsidR="008C6F4B" w:rsidRPr="00474391" w:rsidRDefault="008C6F4B" w:rsidP="008C6F4B">
      <w:pPr>
        <w:spacing w:before="120" w:after="0" w:line="276" w:lineRule="auto"/>
        <w:jc w:val="both"/>
        <w:rPr>
          <w:b/>
          <w:bCs/>
        </w:rPr>
      </w:pPr>
      <w:r w:rsidRPr="00474391">
        <w:rPr>
          <w:b/>
          <w:bCs/>
        </w:rPr>
        <w:t xml:space="preserve">Strategický cíl </w:t>
      </w:r>
      <w:r>
        <w:rPr>
          <w:b/>
          <w:bCs/>
        </w:rPr>
        <w:t>3</w:t>
      </w:r>
      <w:r w:rsidRPr="00474391">
        <w:rPr>
          <w:b/>
          <w:bCs/>
        </w:rPr>
        <w:t>:</w:t>
      </w:r>
    </w:p>
    <w:p w14:paraId="6F5AE9FB" w14:textId="3D6DA95B" w:rsidR="008C6F4B" w:rsidRDefault="008C6F4B" w:rsidP="008C6F4B">
      <w:pPr>
        <w:spacing w:before="120" w:after="0" w:line="276" w:lineRule="auto"/>
        <w:jc w:val="both"/>
      </w:pPr>
      <w:r>
        <w:t>Uvedený Strategický cíl se skládá z celkem 5 specifických cílů</w:t>
      </w:r>
      <w:r w:rsidR="00B5722B">
        <w:t>,</w:t>
      </w:r>
      <w:r>
        <w:t xml:space="preserve"> a to:</w:t>
      </w:r>
    </w:p>
    <w:p w14:paraId="0DCF3B1F" w14:textId="5EAE07E3" w:rsidR="008C6F4B" w:rsidRPr="004059E8" w:rsidRDefault="008C6F4B" w:rsidP="008C6F4B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="00871385" w:rsidRPr="00871385">
        <w:rPr>
          <w:b/>
          <w:bCs/>
        </w:rPr>
        <w:t>3.1 Rozšířit rozhodování a plánování na principu evidence-informed</w:t>
      </w:r>
      <w:r w:rsidR="00871385">
        <w:rPr>
          <w:b/>
          <w:bCs/>
        </w:rPr>
        <w:t>,</w:t>
      </w:r>
    </w:p>
    <w:p w14:paraId="621BCE54" w14:textId="57E1F725" w:rsidR="008C6F4B" w:rsidRDefault="008C6F4B" w:rsidP="008C6F4B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="00871385" w:rsidRPr="00871385">
        <w:rPr>
          <w:b/>
          <w:bCs/>
        </w:rPr>
        <w:t>3.2 Rozšířit aplikaci trvale udržovaných přístupů k řízení kvality</w:t>
      </w:r>
      <w:r w:rsidR="00871385">
        <w:rPr>
          <w:b/>
          <w:bCs/>
        </w:rPr>
        <w:t>,</w:t>
      </w:r>
    </w:p>
    <w:p w14:paraId="5FC763F3" w14:textId="23A647E6" w:rsidR="008C6F4B" w:rsidRDefault="008C6F4B" w:rsidP="008C6F4B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="00871385" w:rsidRPr="00871385">
        <w:rPr>
          <w:b/>
          <w:bCs/>
        </w:rPr>
        <w:t>3.3 Zlepšit uplatnění principů udržitelného rozvoje</w:t>
      </w:r>
      <w:r w:rsidR="00871385">
        <w:rPr>
          <w:b/>
          <w:bCs/>
        </w:rPr>
        <w:t>,</w:t>
      </w:r>
    </w:p>
    <w:p w14:paraId="7F524FA5" w14:textId="1C111D71" w:rsidR="008C6F4B" w:rsidRDefault="008C6F4B" w:rsidP="008C6F4B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="00871385" w:rsidRPr="00871385">
        <w:rPr>
          <w:b/>
          <w:bCs/>
        </w:rPr>
        <w:t>3.4 Zvýšit význam a kvalitu provádění strategického řízení</w:t>
      </w:r>
      <w:r w:rsidR="00871385">
        <w:rPr>
          <w:b/>
          <w:bCs/>
        </w:rPr>
        <w:t>,</w:t>
      </w:r>
    </w:p>
    <w:p w14:paraId="13C65C23" w14:textId="57A349A6" w:rsidR="008C6F4B" w:rsidRPr="004059E8" w:rsidRDefault="008C6F4B" w:rsidP="008C6F4B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="00871385" w:rsidRPr="00871385">
        <w:rPr>
          <w:b/>
          <w:bCs/>
        </w:rPr>
        <w:t>3.5 Sjednotit kvalitu prováděných projektových prací ve státní správě</w:t>
      </w:r>
      <w:r w:rsidR="00871385">
        <w:rPr>
          <w:b/>
          <w:bCs/>
        </w:rPr>
        <w:t>.</w:t>
      </w:r>
    </w:p>
    <w:p w14:paraId="1DA69E07" w14:textId="06DD974D" w:rsidR="00C62F99" w:rsidRDefault="008C6F4B" w:rsidP="003156DF">
      <w:pPr>
        <w:spacing w:before="120" w:after="12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 w:rsidR="00871385">
        <w:rPr>
          <w:b/>
          <w:bCs/>
        </w:rPr>
        <w:t>3</w:t>
      </w:r>
      <w:r w:rsidRPr="00934CA0">
        <w:rPr>
          <w:b/>
          <w:bCs/>
        </w:rPr>
        <w:t>.1</w:t>
      </w:r>
      <w:r>
        <w:t xml:space="preserve"> mělo být realizováno celkem 7 aktivit. Splněny byly </w:t>
      </w:r>
      <w:r w:rsidR="00795992">
        <w:t xml:space="preserve">celkem 3 </w:t>
      </w:r>
      <w:r>
        <w:t xml:space="preserve">aktivity zaměřené na </w:t>
      </w:r>
      <w:r w:rsidR="00C62F99">
        <w:t>s</w:t>
      </w:r>
      <w:r w:rsidR="00C62F99" w:rsidRPr="00C62F99">
        <w:t>dílení analytických a predikčních znalostí a dovedností v rámci platformy Pracovní skupiny pro spolupráci analytických útvarů</w:t>
      </w:r>
      <w:r w:rsidR="00C62F99">
        <w:t>, v</w:t>
      </w:r>
      <w:r w:rsidR="00C62F99" w:rsidRPr="00C62F99">
        <w:t>ytvoření seznamu nabízených vzdělávacích programů vztahujících se k analytické a predikční činnosti</w:t>
      </w:r>
      <w:r w:rsidR="009719C7">
        <w:t>,</w:t>
      </w:r>
      <w:r w:rsidR="0037368E">
        <w:t xml:space="preserve"> a</w:t>
      </w:r>
      <w:r w:rsidR="00C62F99">
        <w:t xml:space="preserve"> s</w:t>
      </w:r>
      <w:r w:rsidR="00C62F99" w:rsidRPr="00C62F99">
        <w:t>poluprác</w:t>
      </w:r>
      <w:r w:rsidR="00C62F99">
        <w:t>i</w:t>
      </w:r>
      <w:r w:rsidR="00C62F99" w:rsidRPr="00C62F99">
        <w:t xml:space="preserve"> analytických pracovníků v rámci platformy PSSAÚ</w:t>
      </w:r>
      <w:r w:rsidR="0037368E">
        <w:t>. V</w:t>
      </w:r>
      <w:r w:rsidR="00C2076A">
        <w:t xml:space="preserve"> </w:t>
      </w:r>
      <w:r w:rsidR="0037368E">
        <w:t>následujícím období b</w:t>
      </w:r>
      <w:r w:rsidR="00183441">
        <w:t>y měla</w:t>
      </w:r>
      <w:r w:rsidR="0037368E">
        <w:t xml:space="preserve"> pokračovat realizace celkem 4 aktivit</w:t>
      </w:r>
      <w:r w:rsidR="003156DF">
        <w:t>,</w:t>
      </w:r>
      <w:r w:rsidR="0037368E">
        <w:t xml:space="preserve"> a to v</w:t>
      </w:r>
      <w:r w:rsidR="0037368E" w:rsidRPr="0037368E">
        <w:t>ytvoření jednotného elektronického prostředí pro sdílení analytických materiálů a doprovodných dat</w:t>
      </w:r>
      <w:r w:rsidR="0037368E">
        <w:t>, v</w:t>
      </w:r>
      <w:r w:rsidR="0037368E" w:rsidRPr="0037368E">
        <w:t>ytvoření sítě analytických koordinátorů na základě jejich ukotvení v jednotlivých institucích zejména státní správy</w:t>
      </w:r>
      <w:r w:rsidR="0037368E">
        <w:t>, a</w:t>
      </w:r>
      <w:r w:rsidR="0037368E" w:rsidRPr="0037368E">
        <w:t>nalýz</w:t>
      </w:r>
      <w:r w:rsidR="003156DF">
        <w:t>a</w:t>
      </w:r>
      <w:r w:rsidR="0037368E" w:rsidRPr="0037368E">
        <w:t xml:space="preserve"> možností vytvoření systému sběru dat a doporučení k systémovému ukotvení sběru dat</w:t>
      </w:r>
      <w:r w:rsidR="002E4F44">
        <w:t xml:space="preserve"> a z</w:t>
      </w:r>
      <w:r w:rsidR="002E4F44" w:rsidRPr="002E4F44">
        <w:t>pracování věcného zadání vytvoření systému sběru dat</w:t>
      </w:r>
      <w:r w:rsidR="002E4F44">
        <w:t>.</w:t>
      </w:r>
    </w:p>
    <w:p w14:paraId="29AEBB85" w14:textId="108A566C" w:rsidR="0037368E" w:rsidRDefault="002E4F44" w:rsidP="002E4F44">
      <w:pPr>
        <w:spacing w:before="120" w:after="0" w:line="276" w:lineRule="auto"/>
        <w:jc w:val="center"/>
      </w:pPr>
      <w:r>
        <w:rPr>
          <w:noProof/>
        </w:rPr>
        <w:lastRenderedPageBreak/>
        <w:drawing>
          <wp:inline distT="0" distB="0" distL="0" distR="0" wp14:anchorId="26221DF1" wp14:editId="1CE91E28">
            <wp:extent cx="4572000" cy="2743200"/>
            <wp:effectExtent l="0" t="0" r="0" b="0"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id="{40FADE1A-0461-4A68-96C0-EEEA7C1508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CAA3FFA" w14:textId="6761172C" w:rsidR="007F5E9D" w:rsidRDefault="007F5E9D" w:rsidP="007F5E9D">
      <w:pPr>
        <w:spacing w:before="120" w:after="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>
        <w:rPr>
          <w:b/>
          <w:bCs/>
        </w:rPr>
        <w:t>3</w:t>
      </w:r>
      <w:r w:rsidRPr="00934CA0">
        <w:rPr>
          <w:b/>
          <w:bCs/>
        </w:rPr>
        <w:t>.</w:t>
      </w:r>
      <w:r>
        <w:rPr>
          <w:b/>
          <w:bCs/>
        </w:rPr>
        <w:t>2</w:t>
      </w:r>
      <w:r>
        <w:t xml:space="preserve"> mělo být realizováno celkem 13 aktivit. Splněny byly aktivity zaměřené na m</w:t>
      </w:r>
      <w:r w:rsidRPr="00395E78">
        <w:t>etodick</w:t>
      </w:r>
      <w:r>
        <w:t>ou</w:t>
      </w:r>
      <w:r w:rsidRPr="00395E78">
        <w:t xml:space="preserve"> podpor</w:t>
      </w:r>
      <w:r>
        <w:t>u</w:t>
      </w:r>
      <w:r w:rsidRPr="00395E78">
        <w:t xml:space="preserve"> pro rozvoj zvoleného systému řízení kvality na jednotlivých služebních úřadech</w:t>
      </w:r>
      <w:r>
        <w:t>, z</w:t>
      </w:r>
      <w:r w:rsidRPr="00395E78">
        <w:t>pracování Příručky pro rozvoj systému řízení kvality ve služebních úřadech</w:t>
      </w:r>
      <w:r>
        <w:t>, z</w:t>
      </w:r>
      <w:r w:rsidRPr="00395E78">
        <w:t>pracování aplikační příručky CAF 2020 pro služební úřady</w:t>
      </w:r>
      <w:r>
        <w:t>, r</w:t>
      </w:r>
      <w:r w:rsidRPr="00395E78">
        <w:t>ealizac</w:t>
      </w:r>
      <w:r>
        <w:t>i</w:t>
      </w:r>
      <w:r w:rsidRPr="00395E78">
        <w:t xml:space="preserve"> vzdělávacích aktivit v oblasti řízení kvality</w:t>
      </w:r>
      <w:r>
        <w:t>, z</w:t>
      </w:r>
      <w:r w:rsidRPr="00395E78">
        <w:t>pracování doporučení pro úpravu stávajících systémů oceňování za kvalitu, případně návrh nového systému</w:t>
      </w:r>
      <w:r>
        <w:t>, p</w:t>
      </w:r>
      <w:r w:rsidRPr="007F5E9D">
        <w:t>roškolení hodnotitelů</w:t>
      </w:r>
      <w:r>
        <w:t>, v</w:t>
      </w:r>
      <w:r w:rsidRPr="007F5E9D">
        <w:t>ytvoření prostředí pro realizaci benchmarkingu ve státní službě</w:t>
      </w:r>
      <w:r>
        <w:t>, v</w:t>
      </w:r>
      <w:r w:rsidRPr="007F5E9D">
        <w:t>ytvoření prostředí pro sdílení dobré praxe ve státní službě</w:t>
      </w:r>
      <w:r>
        <w:t>, z</w:t>
      </w:r>
      <w:r w:rsidRPr="007F5E9D">
        <w:t>pracování metodického doporučení s</w:t>
      </w:r>
      <w:r>
        <w:t> </w:t>
      </w:r>
      <w:r w:rsidRPr="007F5E9D">
        <w:t>modelovým řešením systému řízení organizace územní veřejné správy</w:t>
      </w:r>
      <w:r>
        <w:t>,</w:t>
      </w:r>
      <w:r w:rsidRPr="007F5E9D">
        <w:t xml:space="preserve"> </w:t>
      </w:r>
      <w:r>
        <w:t>z</w:t>
      </w:r>
      <w:r w:rsidRPr="007F5E9D">
        <w:t>ajištění metodické podpory zpracovaného metodického doporučení</w:t>
      </w:r>
      <w:r>
        <w:t>,</w:t>
      </w:r>
      <w:r w:rsidRPr="007F5E9D">
        <w:t xml:space="preserve"> </w:t>
      </w:r>
      <w:r>
        <w:t>p</w:t>
      </w:r>
      <w:r w:rsidRPr="007F5E9D">
        <w:t>řeložení metodiky CAF 2020</w:t>
      </w:r>
      <w:r>
        <w:t>, a z</w:t>
      </w:r>
      <w:r w:rsidRPr="007F5E9D">
        <w:t>pracování aplikační příručky CAF 2020 pro úřady územních samosprávných celků</w:t>
      </w:r>
      <w:r>
        <w:t>. V následujícím období b</w:t>
      </w:r>
      <w:r w:rsidR="004657C0">
        <w:t>y měla</w:t>
      </w:r>
      <w:r>
        <w:t xml:space="preserve"> pokračovat realizace celkem 1 aktivity</w:t>
      </w:r>
      <w:r w:rsidR="009719C7">
        <w:t>,</w:t>
      </w:r>
      <w:r>
        <w:t xml:space="preserve"> a to </w:t>
      </w:r>
      <w:r w:rsidRPr="007F5E9D">
        <w:t>Zajištění metodické podpory systému řízení organizace</w:t>
      </w:r>
      <w:r>
        <w:t>.</w:t>
      </w:r>
    </w:p>
    <w:p w14:paraId="0DC6C670" w14:textId="1BA044BD" w:rsidR="0037368E" w:rsidRDefault="00394749" w:rsidP="002E4F44">
      <w:pPr>
        <w:spacing w:before="120" w:after="0" w:line="276" w:lineRule="auto"/>
        <w:jc w:val="center"/>
      </w:pPr>
      <w:r>
        <w:rPr>
          <w:noProof/>
        </w:rPr>
        <w:drawing>
          <wp:inline distT="0" distB="0" distL="0" distR="0" wp14:anchorId="6E79D4F5" wp14:editId="4A0DF900">
            <wp:extent cx="4572000" cy="2743200"/>
            <wp:effectExtent l="0" t="0" r="0" b="0"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48441CEB-1CA3-43BB-B628-5E6F8BE33F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9CC60E" w14:textId="7E0206FD" w:rsidR="006D7FCB" w:rsidRDefault="00B66BA4" w:rsidP="006D7FCB">
      <w:pPr>
        <w:spacing w:before="120" w:after="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>
        <w:rPr>
          <w:b/>
          <w:bCs/>
        </w:rPr>
        <w:t>3</w:t>
      </w:r>
      <w:r w:rsidRPr="00934CA0">
        <w:rPr>
          <w:b/>
          <w:bCs/>
        </w:rPr>
        <w:t>.</w:t>
      </w:r>
      <w:r w:rsidR="00826B42">
        <w:rPr>
          <w:b/>
          <w:bCs/>
        </w:rPr>
        <w:t>3</w:t>
      </w:r>
      <w:r>
        <w:t xml:space="preserve"> mělo být realizováno celkem </w:t>
      </w:r>
      <w:r w:rsidR="006B3A1B">
        <w:t>13</w:t>
      </w:r>
      <w:r>
        <w:t xml:space="preserve"> aktivit. Splněny byly aktivity zaměřené </w:t>
      </w:r>
      <w:r w:rsidR="006B3A1B">
        <w:t xml:space="preserve">na </w:t>
      </w:r>
      <w:r w:rsidR="00D50D4C">
        <w:t>o</w:t>
      </w:r>
      <w:r w:rsidR="00D50D4C" w:rsidRPr="00D50D4C">
        <w:t>světov</w:t>
      </w:r>
      <w:r w:rsidR="00D50D4C">
        <w:t>ou</w:t>
      </w:r>
      <w:r w:rsidR="00D50D4C" w:rsidRPr="00D50D4C">
        <w:t xml:space="preserve"> a metodick</w:t>
      </w:r>
      <w:r w:rsidR="00D50D4C">
        <w:t>ou</w:t>
      </w:r>
      <w:r w:rsidR="00D50D4C" w:rsidRPr="00D50D4C">
        <w:t xml:space="preserve"> podpor</w:t>
      </w:r>
      <w:r w:rsidR="00D50D4C">
        <w:t>u</w:t>
      </w:r>
      <w:r w:rsidR="00D50D4C" w:rsidRPr="00D50D4C">
        <w:t xml:space="preserve"> zadavatelů v této oblasti (zajištění metodických dokumentů, zvyšování osvěty a výměny informací prostřednictvím médií, konferencí, seminářů apod.)</w:t>
      </w:r>
      <w:r w:rsidR="00D50D4C">
        <w:t>, d</w:t>
      </w:r>
      <w:r w:rsidR="00D50D4C" w:rsidRPr="00D50D4C">
        <w:t xml:space="preserve">louhodobé vzdělávání veřejné správy (v roli zadavatelů) i částečně firemního sektoru (v roli dodavatelů) v oblasti </w:t>
      </w:r>
      <w:r w:rsidR="00BD613A">
        <w:t>s</w:t>
      </w:r>
      <w:r w:rsidR="00D50D4C" w:rsidRPr="00D50D4C">
        <w:t xml:space="preserve">trategického veřejného zadávání prostřednictvím strukturovaného vzdělávání a/nebo eLearningu; </w:t>
      </w:r>
      <w:r w:rsidR="00D50D4C" w:rsidRPr="00D50D4C">
        <w:lastRenderedPageBreak/>
        <w:t>konzultace pro veřejné zadavatele při hledání specifických strategických řešení při konkrétním nastavení veřejných zakázek</w:t>
      </w:r>
      <w:r w:rsidR="00D50D4C">
        <w:t xml:space="preserve"> a z</w:t>
      </w:r>
      <w:r w:rsidR="00D50D4C" w:rsidRPr="00D50D4C">
        <w:t>ískávání příkladů dobré praxe ze zahraničí, jež je možné uplatnit v ČR (zajištění diseminace příkladů a případových studií)</w:t>
      </w:r>
      <w:r w:rsidR="00D50D4C">
        <w:t xml:space="preserve">. </w:t>
      </w:r>
      <w:r>
        <w:t>V</w:t>
      </w:r>
      <w:r w:rsidR="007F5E9D">
        <w:t xml:space="preserve"> </w:t>
      </w:r>
      <w:r>
        <w:t>následujícím období b</w:t>
      </w:r>
      <w:r w:rsidR="004657C0">
        <w:t>y měla</w:t>
      </w:r>
      <w:r>
        <w:t xml:space="preserve"> pokračovat realizace celkem </w:t>
      </w:r>
      <w:r w:rsidR="006D7FCB">
        <w:t>2</w:t>
      </w:r>
      <w:r>
        <w:t xml:space="preserve"> aktivit</w:t>
      </w:r>
      <w:r w:rsidR="0089467E">
        <w:t>,</w:t>
      </w:r>
      <w:r>
        <w:t xml:space="preserve"> a to </w:t>
      </w:r>
      <w:r w:rsidR="006D7FCB">
        <w:t>p</w:t>
      </w:r>
      <w:r w:rsidR="006D7FCB" w:rsidRPr="006D7FCB">
        <w:t xml:space="preserve">říprava a realizace vzorového kursu znalostí a dovedností pro udržitelnou tvorbu politik </w:t>
      </w:r>
      <w:r w:rsidR="006D7FCB">
        <w:t>a a</w:t>
      </w:r>
      <w:r w:rsidR="006D7FCB" w:rsidRPr="006D7FCB">
        <w:t>nalýza systému hodnocení (obecně a v dotačních politikách zvláště)</w:t>
      </w:r>
      <w:r>
        <w:t>.</w:t>
      </w:r>
      <w:r w:rsidR="006D7FCB">
        <w:t xml:space="preserve"> Ostatní aktivity nebyly v Akčním plánu na léta 2021</w:t>
      </w:r>
      <w:r w:rsidR="0089467E">
        <w:t>–</w:t>
      </w:r>
      <w:r w:rsidR="006D7FCB">
        <w:t>2023 realizovány.</w:t>
      </w:r>
    </w:p>
    <w:p w14:paraId="621BE282" w14:textId="13CA0405" w:rsidR="00B66BA4" w:rsidRDefault="00FE6485" w:rsidP="00604E32">
      <w:pPr>
        <w:spacing w:before="120" w:after="0" w:line="276" w:lineRule="auto"/>
        <w:jc w:val="center"/>
      </w:pPr>
      <w:r>
        <w:rPr>
          <w:noProof/>
        </w:rPr>
        <w:drawing>
          <wp:inline distT="0" distB="0" distL="0" distR="0" wp14:anchorId="4808DE60" wp14:editId="4641E9B5">
            <wp:extent cx="4572000" cy="2743200"/>
            <wp:effectExtent l="0" t="0" r="0" b="0"/>
            <wp:docPr id="19" name="Graf 19">
              <a:extLst xmlns:a="http://schemas.openxmlformats.org/drawingml/2006/main">
                <a:ext uri="{FF2B5EF4-FFF2-40B4-BE49-F238E27FC236}">
                  <a16:creationId xmlns:a16="http://schemas.microsoft.com/office/drawing/2014/main" id="{E9CD6279-977F-4346-9C25-4F6316C408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66E3711" w14:textId="703D45B7" w:rsidR="00CC41CD" w:rsidRDefault="00CC41CD" w:rsidP="00CC41CD">
      <w:pPr>
        <w:spacing w:before="120" w:after="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>
        <w:rPr>
          <w:b/>
          <w:bCs/>
        </w:rPr>
        <w:t>3</w:t>
      </w:r>
      <w:r w:rsidRPr="00934CA0">
        <w:rPr>
          <w:b/>
          <w:bCs/>
        </w:rPr>
        <w:t>.</w:t>
      </w:r>
      <w:r>
        <w:rPr>
          <w:b/>
          <w:bCs/>
        </w:rPr>
        <w:t>4</w:t>
      </w:r>
      <w:r>
        <w:t xml:space="preserve"> mělo být realizováno celkem 1</w:t>
      </w:r>
      <w:r w:rsidR="00420E0A">
        <w:t>7</w:t>
      </w:r>
      <w:r>
        <w:t xml:space="preserve"> aktivit. Splněny byly </w:t>
      </w:r>
      <w:r w:rsidR="00922D29">
        <w:t xml:space="preserve">celkem 2 </w:t>
      </w:r>
      <w:r>
        <w:t xml:space="preserve">aktivity zaměřené na </w:t>
      </w:r>
      <w:r w:rsidR="00420E0A">
        <w:t>r</w:t>
      </w:r>
      <w:r w:rsidR="00420E0A" w:rsidRPr="00420E0A">
        <w:t>ozvoj přístupů a modelů založených na early warning system, pozorování megatrendů, forecast a</w:t>
      </w:r>
      <w:r w:rsidR="00922D29">
        <w:t xml:space="preserve"> </w:t>
      </w:r>
      <w:r w:rsidR="00420E0A" w:rsidRPr="00420E0A">
        <w:t>foresight a tvorby scénářů</w:t>
      </w:r>
      <w:r w:rsidR="00420E0A">
        <w:t xml:space="preserve"> a v</w:t>
      </w:r>
      <w:r w:rsidR="00420E0A" w:rsidRPr="00420E0A">
        <w:t>ytvoření vzdělávání (výukového modulu/worskhopu) rozšiřujícího již existující vzdělávací program Strateduka o oblast inovací ve strategickém řízení a využití experimentů při strategické práci</w:t>
      </w:r>
      <w:r w:rsidR="00420E0A">
        <w:t xml:space="preserve">. </w:t>
      </w:r>
      <w:r>
        <w:t>V následujícím období b</w:t>
      </w:r>
      <w:r w:rsidR="004657C0">
        <w:t>y měla</w:t>
      </w:r>
      <w:r>
        <w:t xml:space="preserve"> pokračovat realizace celkem </w:t>
      </w:r>
      <w:r w:rsidR="00B937CE">
        <w:t>1</w:t>
      </w:r>
      <w:r>
        <w:t>2 aktivit</w:t>
      </w:r>
      <w:r w:rsidR="0089467E">
        <w:t>,</w:t>
      </w:r>
      <w:r>
        <w:t xml:space="preserve"> a to </w:t>
      </w:r>
      <w:r w:rsidR="0030501A" w:rsidRPr="0030501A">
        <w:t>Vytvoření centra metodické podpory pro strategické řízení umožňující průběžnou konzultaci, komunikaci a sdílení dobré praxe napříč veřejnou správou</w:t>
      </w:r>
      <w:r w:rsidR="0030501A">
        <w:t xml:space="preserve">, </w:t>
      </w:r>
      <w:r w:rsidR="00DF4285">
        <w:t>r</w:t>
      </w:r>
      <w:r w:rsidR="0030501A" w:rsidRPr="0030501A">
        <w:t>ozvoj metodických nástrojů strategické práce pro národní, regionální i místní úroveň a jejich zavádění v praxi vč. sladění napříč všemi úrovněmi veře</w:t>
      </w:r>
      <w:r w:rsidR="0030501A">
        <w:t xml:space="preserve">jné správy, </w:t>
      </w:r>
      <w:r w:rsidR="0030501A" w:rsidRPr="0030501A">
        <w:t>Nastavení mechanismu pro horizontální (napříč agendami) a vertikální (vnitřní a vnější) soudržnost politik (tzv. koherenci politik) vč. pilotování a případových studií</w:t>
      </w:r>
      <w:r w:rsidR="0030501A">
        <w:t xml:space="preserve">, </w:t>
      </w:r>
      <w:r w:rsidR="00DF4285">
        <w:t>r</w:t>
      </w:r>
      <w:r w:rsidR="0030501A" w:rsidRPr="0030501A">
        <w:t>ozvoj a</w:t>
      </w:r>
      <w:r w:rsidR="00EA0EBC">
        <w:t> </w:t>
      </w:r>
      <w:r w:rsidR="0030501A" w:rsidRPr="0030501A">
        <w:t xml:space="preserve">propagace podpůrných technických nástrojů pro strategickou práci (zejména Databáze strategií, ObcePRO, </w:t>
      </w:r>
      <w:r w:rsidR="00DF4285">
        <w:t>r</w:t>
      </w:r>
      <w:r w:rsidR="0030501A" w:rsidRPr="0030501A">
        <w:t>egionální informační servis, Mapový server), propojení Databáze strategií na další datové systémy, vč.</w:t>
      </w:r>
      <w:r w:rsidR="00EA0EBC">
        <w:t xml:space="preserve"> </w:t>
      </w:r>
      <w:r w:rsidR="0030501A" w:rsidRPr="0030501A">
        <w:t>institucionálního i finančního zajištění jejich dalšího fungování</w:t>
      </w:r>
      <w:r w:rsidR="0030501A">
        <w:t xml:space="preserve">, </w:t>
      </w:r>
      <w:r w:rsidR="00DF4285">
        <w:t>p</w:t>
      </w:r>
      <w:r w:rsidR="0030501A" w:rsidRPr="0030501A">
        <w:t>odpor</w:t>
      </w:r>
      <w:r w:rsidR="00DF4285">
        <w:t>u</w:t>
      </w:r>
      <w:r w:rsidR="0030501A" w:rsidRPr="0030501A">
        <w:t>, rozvoj a</w:t>
      </w:r>
      <w:r w:rsidR="00EA0EBC">
        <w:t> </w:t>
      </w:r>
      <w:r w:rsidR="0030501A" w:rsidRPr="0030501A">
        <w:t>využívání analytických a evaluačních nástrojů pro strategickou práci včetně jejího vyhodnocování</w:t>
      </w:r>
      <w:r w:rsidR="0030501A">
        <w:t xml:space="preserve">, </w:t>
      </w:r>
      <w:r w:rsidR="00DF4285">
        <w:t>v</w:t>
      </w:r>
      <w:r w:rsidR="0030501A" w:rsidRPr="0030501A">
        <w:t xml:space="preserve">ytvoření systému priorit a prioritizace vč. mechanismu sledování a hodnocení implementace. </w:t>
      </w:r>
      <w:r w:rsidR="00DF4285">
        <w:t>r</w:t>
      </w:r>
      <w:r w:rsidR="0030501A" w:rsidRPr="0030501A">
        <w:t>ozvoj přístupů a</w:t>
      </w:r>
      <w:r w:rsidR="00557A65">
        <w:t xml:space="preserve"> </w:t>
      </w:r>
      <w:r w:rsidR="0030501A" w:rsidRPr="0030501A">
        <w:t>modelů založených na early warning system, pozorování megatrendů, forecast a foresight a</w:t>
      </w:r>
      <w:r w:rsidR="00EA0EBC">
        <w:t> </w:t>
      </w:r>
      <w:r w:rsidR="0030501A" w:rsidRPr="0030501A">
        <w:t>tvorby scénářů</w:t>
      </w:r>
      <w:r w:rsidR="00EA155F">
        <w:t xml:space="preserve">, </w:t>
      </w:r>
      <w:r w:rsidR="00A814F6">
        <w:t>p</w:t>
      </w:r>
      <w:r w:rsidR="00EA155F" w:rsidRPr="00EA155F">
        <w:t>odpor</w:t>
      </w:r>
      <w:r w:rsidR="00A814F6">
        <w:t>u</w:t>
      </w:r>
      <w:r w:rsidR="00EA155F" w:rsidRPr="00EA155F">
        <w:t xml:space="preserve"> spolupráce platforem zaměřených na rozvoj strategické práce s cílem umožnit kvalitní a participativní přístup k tvorbě politik a rozhodování</w:t>
      </w:r>
      <w:r w:rsidR="00EA155F">
        <w:t xml:space="preserve">, </w:t>
      </w:r>
      <w:r w:rsidR="00A814F6">
        <w:t>n</w:t>
      </w:r>
      <w:r w:rsidR="00EA155F" w:rsidRPr="00EA155F">
        <w:t>ávrh na propojení strategického řízení (od fáze tvorby politiky až po hodnocení realizace) s rozpočtováním (vč. přidělování prostředků na cíle a priority politik)</w:t>
      </w:r>
      <w:r w:rsidR="00EA155F">
        <w:t xml:space="preserve">, </w:t>
      </w:r>
      <w:r w:rsidR="00A814F6">
        <w:t>p</w:t>
      </w:r>
      <w:r w:rsidR="00EA155F" w:rsidRPr="00EA155F">
        <w:t>růběžné vzdělávaní a školení v oblasti strategické práce, vč.</w:t>
      </w:r>
      <w:r w:rsidR="00EA0EBC">
        <w:t> </w:t>
      </w:r>
      <w:r w:rsidR="00EA155F" w:rsidRPr="00EA155F">
        <w:t>školení vybraných problémových oblastí strategické práce (např. participativní přístup k</w:t>
      </w:r>
      <w:r w:rsidR="00EA0EBC">
        <w:t> </w:t>
      </w:r>
      <w:r w:rsidR="00EA155F" w:rsidRPr="00EA155F">
        <w:t>rozhodování)</w:t>
      </w:r>
      <w:r w:rsidR="00EA155F">
        <w:t xml:space="preserve">, </w:t>
      </w:r>
      <w:r w:rsidR="00A814F6">
        <w:t>z</w:t>
      </w:r>
      <w:r w:rsidR="00EA155F" w:rsidRPr="00EA155F">
        <w:t>aložení a</w:t>
      </w:r>
      <w:r w:rsidR="00EB3307">
        <w:t> </w:t>
      </w:r>
      <w:r w:rsidR="00EA155F" w:rsidRPr="00EA155F">
        <w:t>provozování platformy expertů pro strategické řízení a plánování ve veřejné správě s přesahem na podnikatelský a občanský sektor</w:t>
      </w:r>
      <w:r w:rsidR="00EA155F">
        <w:t xml:space="preserve">, </w:t>
      </w:r>
      <w:r w:rsidR="00EB3307">
        <w:t>p</w:t>
      </w:r>
      <w:r w:rsidR="00EA155F" w:rsidRPr="00EA155F">
        <w:t>řenášení dobré praxe, vč. zahraniční spolupráce; mezinárodní spolupráce a sdílení zkušeností v oblasti strategické práce ve veřejné správě</w:t>
      </w:r>
      <w:r w:rsidR="00EA155F">
        <w:t xml:space="preserve"> </w:t>
      </w:r>
      <w:r w:rsidR="00EA155F">
        <w:lastRenderedPageBreak/>
        <w:t xml:space="preserve">a </w:t>
      </w:r>
      <w:r w:rsidR="00EB3307">
        <w:t>z</w:t>
      </w:r>
      <w:r w:rsidR="00EA155F" w:rsidRPr="00EA155F">
        <w:t>vyšování povědomí o</w:t>
      </w:r>
      <w:r w:rsidR="00EA0EBC">
        <w:t xml:space="preserve"> </w:t>
      </w:r>
      <w:r w:rsidR="00EA155F" w:rsidRPr="00EA155F">
        <w:t>možnostech využití strategického řízení; aktivní propagace strategického řízení politiky směrem k</w:t>
      </w:r>
      <w:r w:rsidR="00EA0EBC">
        <w:t xml:space="preserve"> </w:t>
      </w:r>
      <w:r w:rsidR="00EA155F" w:rsidRPr="00EA155F">
        <w:t>veřejnosti i k politické reprezentaci.</w:t>
      </w:r>
      <w:r w:rsidR="00EB3307">
        <w:t xml:space="preserve"> </w:t>
      </w:r>
      <w:r>
        <w:t>Ostatní aktivity nebyly v Akčním plánu na léta 2021</w:t>
      </w:r>
      <w:r w:rsidR="0089467E">
        <w:t>–</w:t>
      </w:r>
      <w:r>
        <w:t>2023 realizovány.</w:t>
      </w:r>
    </w:p>
    <w:p w14:paraId="502EE3ED" w14:textId="51867F8B" w:rsidR="00B66BA4" w:rsidRDefault="008F5B20" w:rsidP="00420E0A">
      <w:pPr>
        <w:spacing w:before="120" w:after="0" w:line="276" w:lineRule="auto"/>
        <w:jc w:val="center"/>
      </w:pPr>
      <w:r>
        <w:rPr>
          <w:noProof/>
        </w:rPr>
        <w:drawing>
          <wp:inline distT="0" distB="0" distL="0" distR="0" wp14:anchorId="2FD7D53C" wp14:editId="0AEB6E27">
            <wp:extent cx="4572000" cy="2743200"/>
            <wp:effectExtent l="0" t="0" r="0" b="0"/>
            <wp:docPr id="20" name="Graf 20">
              <a:extLst xmlns:a="http://schemas.openxmlformats.org/drawingml/2006/main">
                <a:ext uri="{FF2B5EF4-FFF2-40B4-BE49-F238E27FC236}">
                  <a16:creationId xmlns:a16="http://schemas.microsoft.com/office/drawing/2014/main" id="{BB4DC027-D2D6-440C-BF98-0DCF6C1160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0B9755F" w14:textId="4DA2EE80" w:rsidR="00871385" w:rsidRPr="00F23BDE" w:rsidRDefault="00871385" w:rsidP="00AD6ACA">
      <w:pPr>
        <w:spacing w:before="120" w:after="12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>
        <w:rPr>
          <w:b/>
          <w:bCs/>
        </w:rPr>
        <w:t>3</w:t>
      </w:r>
      <w:r w:rsidRPr="00934CA0">
        <w:rPr>
          <w:b/>
          <w:bCs/>
        </w:rPr>
        <w:t>.</w:t>
      </w:r>
      <w:r>
        <w:rPr>
          <w:b/>
          <w:bCs/>
        </w:rPr>
        <w:t>5</w:t>
      </w:r>
      <w:r>
        <w:t xml:space="preserve"> měly být realizovány celkem </w:t>
      </w:r>
      <w:r w:rsidR="00233D4E">
        <w:t>3</w:t>
      </w:r>
      <w:r>
        <w:t xml:space="preserve"> aktivit</w:t>
      </w:r>
      <w:r w:rsidR="00233D4E">
        <w:t>y</w:t>
      </w:r>
      <w:r>
        <w:t xml:space="preserve">. Splněny byly </w:t>
      </w:r>
      <w:r w:rsidR="00233D4E">
        <w:t xml:space="preserve">všechny </w:t>
      </w:r>
      <w:r>
        <w:t xml:space="preserve">aktivity zaměřené na </w:t>
      </w:r>
      <w:r w:rsidR="00233D4E">
        <w:t>v</w:t>
      </w:r>
      <w:r w:rsidR="00233D4E" w:rsidRPr="00233D4E">
        <w:t>ypracování závazných minimálních standardů projektového řízení pro instituce státní správy</w:t>
      </w:r>
      <w:r w:rsidR="00233D4E">
        <w:t>, d</w:t>
      </w:r>
      <w:r w:rsidR="00233D4E" w:rsidRPr="00233D4E">
        <w:t>efinic</w:t>
      </w:r>
      <w:r w:rsidR="00233D4E">
        <w:t>i</w:t>
      </w:r>
      <w:r w:rsidR="00233D4E" w:rsidRPr="00233D4E">
        <w:t xml:space="preserve"> kompetenčního modelu projektového manažera, včetně popisu požadované znalost</w:t>
      </w:r>
      <w:r w:rsidR="0089467E">
        <w:t>n</w:t>
      </w:r>
      <w:r w:rsidR="00233D4E" w:rsidRPr="00233D4E">
        <w:t>í báze, doporučeného vzdělávacího modelu a certifikace, nebo zkoušky</w:t>
      </w:r>
      <w:r w:rsidR="00233D4E">
        <w:t xml:space="preserve"> a z</w:t>
      </w:r>
      <w:r w:rsidR="00233D4E" w:rsidRPr="00233D4E">
        <w:t>pracování návrhu ka</w:t>
      </w:r>
      <w:r w:rsidR="0089467E">
        <w:t>t</w:t>
      </w:r>
      <w:r w:rsidR="00233D4E" w:rsidRPr="00233D4E">
        <w:t>a</w:t>
      </w:r>
      <w:r w:rsidR="0089467E">
        <w:t>l</w:t>
      </w:r>
      <w:r w:rsidR="00233D4E" w:rsidRPr="00233D4E">
        <w:t>ogizace projektových prací a v rámci prací a činností vykonávaných organizacemi státní správy</w:t>
      </w:r>
      <w:r w:rsidR="00233D4E">
        <w:t>.</w:t>
      </w:r>
    </w:p>
    <w:p w14:paraId="7E0EF209" w14:textId="77777777" w:rsidR="003A7FEC" w:rsidRDefault="00B66BA4" w:rsidP="00C62F99">
      <w:pPr>
        <w:jc w:val="center"/>
      </w:pPr>
      <w:r>
        <w:rPr>
          <w:noProof/>
        </w:rPr>
        <w:drawing>
          <wp:inline distT="0" distB="0" distL="0" distR="0" wp14:anchorId="3CBCED7C" wp14:editId="29DAC2DA">
            <wp:extent cx="4572000" cy="2743200"/>
            <wp:effectExtent l="0" t="0" r="0" b="0"/>
            <wp:docPr id="18" name="Graf 18">
              <a:extLst xmlns:a="http://schemas.openxmlformats.org/drawingml/2006/main">
                <a:ext uri="{FF2B5EF4-FFF2-40B4-BE49-F238E27FC236}">
                  <a16:creationId xmlns:a16="http://schemas.microsoft.com/office/drawing/2014/main" id="{0E6FB7F8-9876-4BE9-A8F4-72E99B8873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E684160" w14:textId="4177507F" w:rsidR="003A7FEC" w:rsidRDefault="003A7FEC" w:rsidP="003A7FEC">
      <w:pPr>
        <w:spacing w:before="120" w:after="0" w:line="276" w:lineRule="auto"/>
        <w:jc w:val="both"/>
      </w:pPr>
      <w:r w:rsidRPr="009C63C1">
        <w:rPr>
          <w:b/>
          <w:bCs/>
        </w:rPr>
        <w:t>Závěr:</w:t>
      </w:r>
      <w:r>
        <w:t xml:space="preserve"> V rámci strategického cíle 3 bylo plněno téměř 80 % všech aktivit, přičemž splněno bylo více jak 40 % z nich.</w:t>
      </w:r>
    </w:p>
    <w:p w14:paraId="53017EFA" w14:textId="79650438" w:rsidR="00D80F16" w:rsidRDefault="00D80F16">
      <w:r>
        <w:br w:type="page"/>
      </w:r>
    </w:p>
    <w:p w14:paraId="7B712B1D" w14:textId="3B4277E8" w:rsidR="00F664B5" w:rsidRPr="00474391" w:rsidRDefault="00F664B5" w:rsidP="00F664B5">
      <w:pPr>
        <w:spacing w:before="120" w:after="0" w:line="276" w:lineRule="auto"/>
        <w:jc w:val="both"/>
        <w:rPr>
          <w:b/>
          <w:bCs/>
        </w:rPr>
      </w:pPr>
      <w:r w:rsidRPr="00474391">
        <w:rPr>
          <w:b/>
          <w:bCs/>
        </w:rPr>
        <w:lastRenderedPageBreak/>
        <w:t xml:space="preserve">Strategický cíl </w:t>
      </w:r>
      <w:r>
        <w:rPr>
          <w:b/>
          <w:bCs/>
        </w:rPr>
        <w:t>4</w:t>
      </w:r>
      <w:r w:rsidRPr="00474391">
        <w:rPr>
          <w:b/>
          <w:bCs/>
        </w:rPr>
        <w:t>:</w:t>
      </w:r>
    </w:p>
    <w:p w14:paraId="3F8FDFC3" w14:textId="4CF06771" w:rsidR="00F664B5" w:rsidRDefault="00F664B5" w:rsidP="00F664B5">
      <w:pPr>
        <w:spacing w:before="120" w:after="0" w:line="276" w:lineRule="auto"/>
        <w:jc w:val="both"/>
      </w:pPr>
      <w:r>
        <w:t>Uvedený Strategický cíl se skládá z celkem 5 specifických cílů</w:t>
      </w:r>
      <w:r w:rsidR="0089467E">
        <w:t>,</w:t>
      </w:r>
      <w:r>
        <w:t xml:space="preserve"> a to:</w:t>
      </w:r>
    </w:p>
    <w:p w14:paraId="0D8808CB" w14:textId="00D88C4D" w:rsidR="00F664B5" w:rsidRPr="004059E8" w:rsidRDefault="00F664B5" w:rsidP="00F664B5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Pr="00F664B5">
        <w:rPr>
          <w:b/>
          <w:bCs/>
        </w:rPr>
        <w:t>4.1 Zvýšit znalosti a dovednosti volených zástupců územně samosprávných celků</w:t>
      </w:r>
      <w:r>
        <w:rPr>
          <w:b/>
          <w:bCs/>
        </w:rPr>
        <w:t>,</w:t>
      </w:r>
    </w:p>
    <w:p w14:paraId="36C61C21" w14:textId="23D9CC8B" w:rsidR="00F664B5" w:rsidRDefault="00F664B5" w:rsidP="00F664B5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="00BC3B66" w:rsidRPr="00BC3B66">
        <w:rPr>
          <w:b/>
          <w:bCs/>
        </w:rPr>
        <w:t>4.2 Zvýšit znalosti a dovednosti úředníků územně samosprávných celků</w:t>
      </w:r>
      <w:r>
        <w:rPr>
          <w:b/>
          <w:bCs/>
        </w:rPr>
        <w:t>,</w:t>
      </w:r>
    </w:p>
    <w:p w14:paraId="4C269CE1" w14:textId="77777777" w:rsidR="00BC3B66" w:rsidRDefault="00F664B5" w:rsidP="00BC3B66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="00BC3B66" w:rsidRPr="00BC3B66">
        <w:rPr>
          <w:b/>
          <w:bCs/>
        </w:rPr>
        <w:t>4.3 Zkvalitnit vzdělávání ve státní správě</w:t>
      </w:r>
      <w:r w:rsidR="00BC3B66">
        <w:rPr>
          <w:b/>
          <w:bCs/>
        </w:rPr>
        <w:t>.</w:t>
      </w:r>
    </w:p>
    <w:p w14:paraId="3CF1F0EC" w14:textId="0664AEBB" w:rsidR="00F74918" w:rsidRDefault="00F664B5" w:rsidP="00F74918">
      <w:pPr>
        <w:spacing w:before="120" w:after="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 w:rsidR="00657EC4">
        <w:rPr>
          <w:b/>
          <w:bCs/>
        </w:rPr>
        <w:t>4</w:t>
      </w:r>
      <w:r w:rsidRPr="00934CA0">
        <w:rPr>
          <w:b/>
          <w:bCs/>
        </w:rPr>
        <w:t>.1</w:t>
      </w:r>
      <w:r>
        <w:t xml:space="preserve"> měl</w:t>
      </w:r>
      <w:r w:rsidR="00E84CD0">
        <w:t>y</w:t>
      </w:r>
      <w:r>
        <w:t xml:space="preserve"> být realizován</w:t>
      </w:r>
      <w:r w:rsidR="00D80F16">
        <w:t>y</w:t>
      </w:r>
      <w:r>
        <w:t xml:space="preserve"> celkem </w:t>
      </w:r>
      <w:r w:rsidR="00E84CD0">
        <w:t>2</w:t>
      </w:r>
      <w:r>
        <w:t xml:space="preserve"> aktivit</w:t>
      </w:r>
      <w:r w:rsidR="00E84CD0">
        <w:t>y</w:t>
      </w:r>
      <w:r>
        <w:t xml:space="preserve">. </w:t>
      </w:r>
      <w:r w:rsidR="00E84CD0">
        <w:t>Splněna nebyl</w:t>
      </w:r>
      <w:r w:rsidR="0089467E">
        <w:t>a</w:t>
      </w:r>
      <w:r w:rsidR="00E84CD0">
        <w:t xml:space="preserve"> žádná aktivita. </w:t>
      </w:r>
      <w:r>
        <w:t>V</w:t>
      </w:r>
      <w:r w:rsidR="00F74918">
        <w:t> </w:t>
      </w:r>
      <w:r>
        <w:t>následujícím období b</w:t>
      </w:r>
      <w:r w:rsidR="004657C0">
        <w:t>y měla</w:t>
      </w:r>
      <w:r>
        <w:t xml:space="preserve"> pokračovat realizace </w:t>
      </w:r>
      <w:r w:rsidR="00E84CD0">
        <w:t>1</w:t>
      </w:r>
      <w:r>
        <w:t xml:space="preserve"> aktivit</w:t>
      </w:r>
      <w:r w:rsidR="00E84CD0">
        <w:t>y</w:t>
      </w:r>
      <w:r w:rsidR="0089467E">
        <w:t>,</w:t>
      </w:r>
      <w:r>
        <w:t xml:space="preserve"> a to </w:t>
      </w:r>
      <w:r w:rsidR="00F74918">
        <w:t>z</w:t>
      </w:r>
      <w:r w:rsidR="00E84CD0" w:rsidRPr="00E84CD0">
        <w:t>pracování návrhu legislativního ukotvení vzdělávání zastupitelů včetně jeho projednání</w:t>
      </w:r>
      <w:r>
        <w:t>.</w:t>
      </w:r>
      <w:r w:rsidR="00F74918">
        <w:t xml:space="preserve"> Ostatní aktivity nebyly v Akčním plánu na léta 2021</w:t>
      </w:r>
      <w:r w:rsidR="0089467E">
        <w:t>–</w:t>
      </w:r>
      <w:r w:rsidR="00F74918">
        <w:t>2023 realizovány.</w:t>
      </w:r>
    </w:p>
    <w:p w14:paraId="19D2DB2F" w14:textId="3134B001" w:rsidR="00F664B5" w:rsidRPr="00BC3B66" w:rsidRDefault="00D80F16" w:rsidP="00F74918">
      <w:pPr>
        <w:spacing w:before="120" w:after="0" w:line="276" w:lineRule="auto"/>
        <w:ind w:left="284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D50F5D2" wp14:editId="73D86AAF">
            <wp:extent cx="4572000" cy="2743200"/>
            <wp:effectExtent l="0" t="0" r="0" b="0"/>
            <wp:docPr id="24" name="Graf 24">
              <a:extLst xmlns:a="http://schemas.openxmlformats.org/drawingml/2006/main">
                <a:ext uri="{FF2B5EF4-FFF2-40B4-BE49-F238E27FC236}">
                  <a16:creationId xmlns:a16="http://schemas.microsoft.com/office/drawing/2014/main" id="{FC65E56D-0F53-4646-9753-63B9015233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E1DAB84" w14:textId="4DBF6CB8" w:rsidR="00871385" w:rsidRDefault="00871385" w:rsidP="003A7FEC"/>
    <w:p w14:paraId="11595F82" w14:textId="01E9E758" w:rsidR="000D3408" w:rsidRDefault="002E3949" w:rsidP="000D3408">
      <w:pPr>
        <w:spacing w:before="120" w:after="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>
        <w:rPr>
          <w:b/>
          <w:bCs/>
        </w:rPr>
        <w:t>4.2</w:t>
      </w:r>
      <w:r>
        <w:t xml:space="preserve"> měl</w:t>
      </w:r>
      <w:r w:rsidR="0089467E">
        <w:t>o</w:t>
      </w:r>
      <w:r>
        <w:t xml:space="preserve"> být realizován</w:t>
      </w:r>
      <w:r w:rsidR="000D3408">
        <w:t>o</w:t>
      </w:r>
      <w:r>
        <w:t xml:space="preserve"> celkem </w:t>
      </w:r>
      <w:r w:rsidR="000D3408">
        <w:t>8</w:t>
      </w:r>
      <w:r>
        <w:t xml:space="preserve"> aktivit. Splněny byly </w:t>
      </w:r>
      <w:r w:rsidR="00545131">
        <w:t>celkem 2</w:t>
      </w:r>
      <w:r>
        <w:t xml:space="preserve"> aktivity zaměřené na </w:t>
      </w:r>
      <w:r w:rsidR="000D3408">
        <w:t>k</w:t>
      </w:r>
      <w:r w:rsidR="000D3408" w:rsidRPr="000D3408">
        <w:t>omparac</w:t>
      </w:r>
      <w:r w:rsidR="000D3408">
        <w:t>i</w:t>
      </w:r>
      <w:r w:rsidR="000D3408" w:rsidRPr="000D3408">
        <w:t xml:space="preserve"> současných obsahů vstupního vzdělávání úředníků ÚSC akreditovaných Ministerstvem vnitra a poskytovaných akreditovanými vzdělávacími institucemi v</w:t>
      </w:r>
      <w:r w:rsidR="000D3408">
        <w:t xml:space="preserve"> </w:t>
      </w:r>
      <w:r w:rsidR="000D3408" w:rsidRPr="000D3408">
        <w:t>souladu s</w:t>
      </w:r>
      <w:r w:rsidR="0089467E">
        <w:t> </w:t>
      </w:r>
      <w:r w:rsidR="000D3408" w:rsidRPr="000D3408">
        <w:t>§</w:t>
      </w:r>
      <w:r w:rsidR="0089467E">
        <w:t> </w:t>
      </w:r>
      <w:r w:rsidR="000D3408" w:rsidRPr="000D3408">
        <w:t>19 zákona o úřednících</w:t>
      </w:r>
      <w:r w:rsidR="00545131">
        <w:t xml:space="preserve"> </w:t>
      </w:r>
      <w:r w:rsidR="000D3408">
        <w:t>a z</w:t>
      </w:r>
      <w:r w:rsidR="000D3408" w:rsidRPr="000D3408">
        <w:t>mapování aktuálního stavu příprav a ověření zvláštní odborné způsobilosti úředníků ÚSC s ohledem na působnost jednotlivých typů ÚSC, s akcentem na rozsah výkonu přenesené působnosti (obce I. typu, obce II. typu, III. typu a krajské úřady). Srovnání zahraničních právních úprav odborné přípravy a jejího ověření u úředníků ÚSC (komparace se 4 státy EU).</w:t>
      </w:r>
      <w:r w:rsidR="000D3408">
        <w:t xml:space="preserve"> V</w:t>
      </w:r>
      <w:r w:rsidR="001D06A6">
        <w:t xml:space="preserve"> </w:t>
      </w:r>
      <w:r w:rsidR="000D3408">
        <w:t>následujícím období b</w:t>
      </w:r>
      <w:r w:rsidR="004657C0">
        <w:t>y měla</w:t>
      </w:r>
      <w:r w:rsidR="000D3408">
        <w:t xml:space="preserve"> pokračovat realizace celkem </w:t>
      </w:r>
      <w:r w:rsidR="001D06A6">
        <w:t>6</w:t>
      </w:r>
      <w:r w:rsidR="000D3408">
        <w:t xml:space="preserve"> aktivit</w:t>
      </w:r>
      <w:r w:rsidR="0089467E">
        <w:t>,</w:t>
      </w:r>
      <w:r w:rsidR="000D3408">
        <w:t xml:space="preserve"> a to </w:t>
      </w:r>
      <w:r w:rsidR="001D06A6">
        <w:t>n</w:t>
      </w:r>
      <w:r w:rsidR="001D06A6" w:rsidRPr="001D06A6">
        <w:t>astavení minimálního povinného obsahu vstupního vzdělávání úředníků ÚSC</w:t>
      </w:r>
      <w:r w:rsidR="001D06A6">
        <w:t>, p</w:t>
      </w:r>
      <w:r w:rsidR="001D06A6" w:rsidRPr="001D06A6">
        <w:t>romítnutí obsahu povinného vzdělávacího programu pro vstupní vzdělávání úředníků ÚSC do právních předpisů a metodických doporučení pro akreditaci vzdělávacích programů</w:t>
      </w:r>
      <w:r w:rsidR="001D06A6">
        <w:t>, z</w:t>
      </w:r>
      <w:r w:rsidR="001D06A6" w:rsidRPr="001D06A6">
        <w:t>jištění aktuálních vzdělávacích potřeb úředníků ÚSC pro jejich přípravu a ověření zvláštní odborné způsobilosti jak z pohledu garanta správní činnosti, tak z pohledu výkonu správní činnosti v ÚSC s</w:t>
      </w:r>
      <w:r w:rsidR="00545131">
        <w:t> </w:t>
      </w:r>
      <w:r w:rsidR="001D06A6" w:rsidRPr="001D06A6">
        <w:t>akcentem na rozsah výkonu přenesené působnosti (obce I., II. a III. typu, KÚ)</w:t>
      </w:r>
      <w:r w:rsidR="00D71E68">
        <w:t xml:space="preserve">. Na základě zpracovaných analytických dokumentů byla zpracována novela </w:t>
      </w:r>
      <w:r w:rsidR="00E02337">
        <w:t>z</w:t>
      </w:r>
      <w:r w:rsidR="00D71E68">
        <w:t>ákona č. 312/2002 Sb. o úřednících ÚSC, která byla po projednání vládou postoupena Poslanecké sněmovně. Účinnost zákona se předpokládá od 1.</w:t>
      </w:r>
      <w:r w:rsidR="00E02337">
        <w:t xml:space="preserve"> </w:t>
      </w:r>
      <w:r w:rsidR="00D71E68">
        <w:t>7.</w:t>
      </w:r>
      <w:r w:rsidR="00E02337">
        <w:t xml:space="preserve"> </w:t>
      </w:r>
      <w:r w:rsidR="00D71E68">
        <w:t>2024</w:t>
      </w:r>
      <w:r w:rsidR="00E02337">
        <w:t>,</w:t>
      </w:r>
      <w:r w:rsidR="00D71E68">
        <w:t xml:space="preserve"> resp. 1.</w:t>
      </w:r>
      <w:r w:rsidR="00E02337">
        <w:t xml:space="preserve"> </w:t>
      </w:r>
      <w:r w:rsidR="00D71E68">
        <w:t>1.</w:t>
      </w:r>
      <w:r w:rsidR="00E02337">
        <w:t xml:space="preserve"> </w:t>
      </w:r>
      <w:r w:rsidR="00D71E68">
        <w:t>2025.</w:t>
      </w:r>
      <w:r w:rsidR="001D06A6">
        <w:t xml:space="preserve"> </w:t>
      </w:r>
      <w:r w:rsidR="00D71E68">
        <w:t>Koordinační skupina pro vzdělávání úředníků, jejímiž členy jsou gestoři správních činností ÚSÚ bude pokračovat v</w:t>
      </w:r>
      <w:r w:rsidR="00E02337">
        <w:t xml:space="preserve"> </w:t>
      </w:r>
      <w:r w:rsidR="00D71E68">
        <w:t>plnění posledních dvou opatření i v</w:t>
      </w:r>
      <w:r w:rsidR="00E02337">
        <w:t xml:space="preserve"> </w:t>
      </w:r>
      <w:r w:rsidR="00D71E68">
        <w:t xml:space="preserve">druhém akčním plánu. Jedná se o </w:t>
      </w:r>
      <w:r w:rsidR="001D06A6">
        <w:t>d</w:t>
      </w:r>
      <w:r w:rsidR="001D06A6" w:rsidRPr="001D06A6">
        <w:t xml:space="preserve">efinování kompetencí úředníků a nastavení kompetenčních modelů pro </w:t>
      </w:r>
      <w:r w:rsidR="001D06A6" w:rsidRPr="001D06A6">
        <w:lastRenderedPageBreak/>
        <w:t>stanovení standardu obsahu přípravy a ověření zvláštní odborné způsobilosti (obecná + zvláštní část pro 31 správních činností)</w:t>
      </w:r>
      <w:r w:rsidR="001D06A6">
        <w:t>, n</w:t>
      </w:r>
      <w:r w:rsidR="001D06A6" w:rsidRPr="001D06A6">
        <w:t>astavení standardů přípravy a ověření zvláštní odborné způsobilosti (obecná část a zvláštní část pro výkon 31 správních činností) úředníků ÚSC s</w:t>
      </w:r>
      <w:r w:rsidR="00545131">
        <w:t xml:space="preserve"> </w:t>
      </w:r>
      <w:r w:rsidR="001D06A6" w:rsidRPr="001D06A6">
        <w:t>promítnutím výkonu přenesené působnosti podle jednotlivých typů ÚSC s</w:t>
      </w:r>
      <w:r w:rsidR="00545131">
        <w:t> </w:t>
      </w:r>
      <w:r w:rsidR="001D06A6" w:rsidRPr="001D06A6">
        <w:t>promítnutím do právních předpisů</w:t>
      </w:r>
      <w:r w:rsidR="001D06A6">
        <w:t xml:space="preserve"> a n</w:t>
      </w:r>
      <w:r w:rsidR="001D06A6" w:rsidRPr="001D06A6">
        <w:t>a základě kompetenčních modelů pro jednotlivé správní činnosti, standardů přípravy a ověření ZOZ definov</w:t>
      </w:r>
      <w:r w:rsidR="00B95253">
        <w:t>ání</w:t>
      </w:r>
      <w:r w:rsidR="001D06A6" w:rsidRPr="001D06A6">
        <w:t xml:space="preserve"> a</w:t>
      </w:r>
      <w:r w:rsidR="0039228C">
        <w:t xml:space="preserve"> </w:t>
      </w:r>
      <w:r w:rsidR="001D06A6" w:rsidRPr="001D06A6">
        <w:t xml:space="preserve">s garanty správních činností </w:t>
      </w:r>
      <w:r w:rsidR="00B95253">
        <w:t>odsouhlasení</w:t>
      </w:r>
      <w:r w:rsidR="001D06A6" w:rsidRPr="001D06A6">
        <w:t xml:space="preserve"> kód</w:t>
      </w:r>
      <w:r w:rsidR="00B95253">
        <w:t>ů</w:t>
      </w:r>
      <w:r w:rsidR="001D06A6" w:rsidRPr="001D06A6">
        <w:t xml:space="preserve"> studijních programů a studijní</w:t>
      </w:r>
      <w:r w:rsidR="00B95253">
        <w:t>ch</w:t>
      </w:r>
      <w:r w:rsidR="001D06A6" w:rsidRPr="001D06A6">
        <w:t xml:space="preserve"> program</w:t>
      </w:r>
      <w:r w:rsidR="00B95253">
        <w:t>ů</w:t>
      </w:r>
      <w:r w:rsidR="001D06A6" w:rsidRPr="001D06A6">
        <w:t xml:space="preserve"> po jejichž absolvování nemá úředník povinnost prokázat ZOZ nebo účastnit se vzdělávání vedoucích úředníků a</w:t>
      </w:r>
      <w:r w:rsidR="0039228C">
        <w:t xml:space="preserve"> </w:t>
      </w:r>
      <w:r w:rsidR="001D06A6" w:rsidRPr="001D06A6">
        <w:t>vedoucích úřadů nebo definovat minimální obsah získaných znalostí a dovednost</w:t>
      </w:r>
      <w:r w:rsidR="008B7EDA">
        <w:t>í</w:t>
      </w:r>
      <w:r w:rsidR="001D06A6" w:rsidRPr="001D06A6">
        <w:t xml:space="preserve"> či kompetencí absolventa vysokoškolského studia.</w:t>
      </w:r>
      <w:r w:rsidR="00D71E68">
        <w:t xml:space="preserve"> </w:t>
      </w:r>
      <w:r w:rsidR="00CD0CD2">
        <w:t>Ostatní aktivity nebyly v Akčním plánu na léta 2021</w:t>
      </w:r>
      <w:r w:rsidR="00993037">
        <w:t>–</w:t>
      </w:r>
      <w:r w:rsidR="00CD0CD2">
        <w:t>2023 realizovány.</w:t>
      </w:r>
    </w:p>
    <w:p w14:paraId="22C7AB12" w14:textId="06AE0E20" w:rsidR="00B95253" w:rsidRDefault="00B95253" w:rsidP="00B95253">
      <w:pPr>
        <w:spacing w:before="120" w:after="0" w:line="276" w:lineRule="auto"/>
        <w:jc w:val="center"/>
      </w:pPr>
      <w:r>
        <w:rPr>
          <w:noProof/>
        </w:rPr>
        <w:drawing>
          <wp:inline distT="0" distB="0" distL="0" distR="0" wp14:anchorId="5E608F08" wp14:editId="666EBD91">
            <wp:extent cx="4572000" cy="2743200"/>
            <wp:effectExtent l="0" t="0" r="0" b="0"/>
            <wp:docPr id="26" name="Graf 26">
              <a:extLst xmlns:a="http://schemas.openxmlformats.org/drawingml/2006/main">
                <a:ext uri="{FF2B5EF4-FFF2-40B4-BE49-F238E27FC236}">
                  <a16:creationId xmlns:a16="http://schemas.microsoft.com/office/drawing/2014/main" id="{FDAFCFED-2C00-4450-9726-3B143AD83D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B95D969" w14:textId="63C5A658" w:rsidR="002E3949" w:rsidRDefault="00B95253" w:rsidP="002E3949">
      <w:pPr>
        <w:spacing w:before="120" w:after="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>
        <w:rPr>
          <w:b/>
          <w:bCs/>
        </w:rPr>
        <w:t>4.3</w:t>
      </w:r>
      <w:r>
        <w:t xml:space="preserve"> měl</w:t>
      </w:r>
      <w:r w:rsidR="00CD0CD2">
        <w:t>o</w:t>
      </w:r>
      <w:r>
        <w:t xml:space="preserve"> být realizováno celkem </w:t>
      </w:r>
      <w:r w:rsidR="005E20A2">
        <w:t>9</w:t>
      </w:r>
      <w:r>
        <w:t xml:space="preserve"> aktivit. Splněny byly </w:t>
      </w:r>
      <w:r w:rsidR="00CD0CD2">
        <w:t>celkem 4</w:t>
      </w:r>
      <w:r>
        <w:t xml:space="preserve"> aktivity zaměřené na</w:t>
      </w:r>
      <w:r w:rsidR="00736E2B">
        <w:t xml:space="preserve"> z</w:t>
      </w:r>
      <w:r w:rsidR="00736E2B" w:rsidRPr="00736E2B">
        <w:t>mapování aktuálního stavu potřebnosti proškolení v průřezových oblastech</w:t>
      </w:r>
      <w:r w:rsidR="00736E2B">
        <w:t>, i</w:t>
      </w:r>
      <w:r w:rsidR="00736E2B" w:rsidRPr="00736E2B">
        <w:t>dentifikac</w:t>
      </w:r>
      <w:r w:rsidR="00736E2B">
        <w:t>i</w:t>
      </w:r>
      <w:r w:rsidR="00736E2B" w:rsidRPr="00736E2B">
        <w:t xml:space="preserve"> správních činností, které budou pro účely vzdělávání na daných služebních místech určeny jako klíčové</w:t>
      </w:r>
      <w:r w:rsidR="00736E2B">
        <w:t>, a</w:t>
      </w:r>
      <w:r w:rsidR="00736E2B" w:rsidRPr="00736E2B">
        <w:t>nalytické zhodnocení dosavadních způsobů evidence vzdělávacích akcí na služebních úřadech</w:t>
      </w:r>
      <w:r w:rsidR="00736E2B">
        <w:t xml:space="preserve"> a n</w:t>
      </w:r>
      <w:r w:rsidR="00736E2B" w:rsidRPr="00736E2B">
        <w:t>ovelizac</w:t>
      </w:r>
      <w:r w:rsidR="00736E2B">
        <w:t>i</w:t>
      </w:r>
      <w:r w:rsidR="00736E2B" w:rsidRPr="00736E2B">
        <w:t xml:space="preserve"> relevantních ustanovení zákona o státní službě (§ 107)</w:t>
      </w:r>
      <w:r w:rsidR="00736E2B">
        <w:t>.</w:t>
      </w:r>
      <w:r w:rsidR="00CD0CD2">
        <w:t xml:space="preserve"> Ostatní aktivity nebyly v Akčním plánu na léta 2021</w:t>
      </w:r>
      <w:r w:rsidR="00993037">
        <w:t>–</w:t>
      </w:r>
      <w:r w:rsidR="00CD0CD2">
        <w:t>2023 realizovány.</w:t>
      </w:r>
    </w:p>
    <w:p w14:paraId="3EC46FB7" w14:textId="4285A2FB" w:rsidR="000D3408" w:rsidRPr="00F23BDE" w:rsidRDefault="00736E2B" w:rsidP="00AD6ACA">
      <w:pPr>
        <w:spacing w:before="120" w:after="120" w:line="276" w:lineRule="auto"/>
        <w:jc w:val="center"/>
      </w:pPr>
      <w:r>
        <w:rPr>
          <w:noProof/>
        </w:rPr>
        <w:drawing>
          <wp:inline distT="0" distB="0" distL="0" distR="0" wp14:anchorId="1BCA5585" wp14:editId="084CFAF4">
            <wp:extent cx="4572000" cy="2743200"/>
            <wp:effectExtent l="0" t="0" r="0" b="0"/>
            <wp:docPr id="27" name="Graf 27">
              <a:extLst xmlns:a="http://schemas.openxmlformats.org/drawingml/2006/main">
                <a:ext uri="{FF2B5EF4-FFF2-40B4-BE49-F238E27FC236}">
                  <a16:creationId xmlns:a16="http://schemas.microsoft.com/office/drawing/2014/main" id="{CA4ABE92-32CD-4F96-9C18-A348C53D33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E814C95" w14:textId="2562539D" w:rsidR="00736E2B" w:rsidRDefault="00736E2B" w:rsidP="00736E2B">
      <w:pPr>
        <w:spacing w:before="120" w:after="0" w:line="276" w:lineRule="auto"/>
        <w:jc w:val="both"/>
      </w:pPr>
      <w:r w:rsidRPr="009C63C1">
        <w:rPr>
          <w:b/>
          <w:bCs/>
        </w:rPr>
        <w:lastRenderedPageBreak/>
        <w:t>Závěr:</w:t>
      </w:r>
      <w:r>
        <w:t xml:space="preserve"> V rámci strategického cíle </w:t>
      </w:r>
      <w:r w:rsidR="003F1ACE">
        <w:t>4</w:t>
      </w:r>
      <w:r>
        <w:t xml:space="preserve"> bylo plněno téměř </w:t>
      </w:r>
      <w:r w:rsidR="003E5227">
        <w:t>75</w:t>
      </w:r>
      <w:r>
        <w:t xml:space="preserve"> % všech aktivit, přičemž splněno bylo </w:t>
      </w:r>
      <w:r w:rsidR="003E5227">
        <w:t>téměř</w:t>
      </w:r>
      <w:r>
        <w:t xml:space="preserve"> </w:t>
      </w:r>
      <w:r w:rsidR="005C5833">
        <w:t>32</w:t>
      </w:r>
      <w:r>
        <w:t> % z nich.</w:t>
      </w:r>
    </w:p>
    <w:p w14:paraId="3BED95BA" w14:textId="1628D93B" w:rsidR="00472AFD" w:rsidRDefault="00472AFD"/>
    <w:p w14:paraId="2495CFFF" w14:textId="5C9E9AB5" w:rsidR="00ED7857" w:rsidRPr="00474391" w:rsidRDefault="00ED7857" w:rsidP="00ED7857">
      <w:pPr>
        <w:spacing w:before="120" w:after="0" w:line="276" w:lineRule="auto"/>
        <w:jc w:val="both"/>
        <w:rPr>
          <w:b/>
          <w:bCs/>
        </w:rPr>
      </w:pPr>
      <w:r w:rsidRPr="00474391">
        <w:rPr>
          <w:b/>
          <w:bCs/>
        </w:rPr>
        <w:t xml:space="preserve">Strategický cíl </w:t>
      </w:r>
      <w:r>
        <w:rPr>
          <w:b/>
          <w:bCs/>
        </w:rPr>
        <w:t>5</w:t>
      </w:r>
      <w:r w:rsidRPr="00474391">
        <w:rPr>
          <w:b/>
          <w:bCs/>
        </w:rPr>
        <w:t>:</w:t>
      </w:r>
    </w:p>
    <w:p w14:paraId="225931CB" w14:textId="4EE83148" w:rsidR="00ED7857" w:rsidRDefault="00ED7857" w:rsidP="00ED7857">
      <w:pPr>
        <w:spacing w:before="120" w:after="0" w:line="276" w:lineRule="auto"/>
        <w:jc w:val="both"/>
      </w:pPr>
      <w:r>
        <w:t>Uvedený Strategický cíl se skládá z celkem 2 specifických cílů</w:t>
      </w:r>
      <w:r w:rsidR="00993037">
        <w:t>,</w:t>
      </w:r>
      <w:r>
        <w:t xml:space="preserve"> a to:</w:t>
      </w:r>
    </w:p>
    <w:p w14:paraId="52D80F83" w14:textId="10E2370D" w:rsidR="00ED7857" w:rsidRPr="004059E8" w:rsidRDefault="00ED7857" w:rsidP="00ED7857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Pr="00ED7857">
        <w:rPr>
          <w:b/>
          <w:bCs/>
        </w:rPr>
        <w:t>5.1 Zlepšit komunikaci veřejné správy směrem k veřejnosti</w:t>
      </w:r>
      <w:r>
        <w:rPr>
          <w:b/>
          <w:bCs/>
        </w:rPr>
        <w:t>,</w:t>
      </w:r>
    </w:p>
    <w:p w14:paraId="267F1FA0" w14:textId="77777777" w:rsidR="00ED7857" w:rsidRDefault="00ED7857" w:rsidP="00ED7857">
      <w:pPr>
        <w:spacing w:before="120" w:after="0" w:line="276" w:lineRule="auto"/>
        <w:ind w:left="284"/>
        <w:jc w:val="both"/>
        <w:rPr>
          <w:b/>
          <w:bCs/>
        </w:rPr>
      </w:pPr>
      <w:r w:rsidRPr="004059E8">
        <w:rPr>
          <w:b/>
          <w:bCs/>
        </w:rPr>
        <w:t xml:space="preserve">Specifický cíl </w:t>
      </w:r>
      <w:r w:rsidRPr="00ED7857">
        <w:rPr>
          <w:b/>
          <w:bCs/>
        </w:rPr>
        <w:t>5.2 Zvýšit povědomí o možnostech účasti občanů na veřejném dění, tyto možnosti usnadňovat</w:t>
      </w:r>
      <w:r>
        <w:rPr>
          <w:b/>
          <w:bCs/>
        </w:rPr>
        <w:t>.</w:t>
      </w:r>
    </w:p>
    <w:p w14:paraId="1553F038" w14:textId="6DD9A4AD" w:rsidR="00ED7857" w:rsidRPr="007D18DB" w:rsidRDefault="00ED7857" w:rsidP="00AD6ACA">
      <w:pPr>
        <w:spacing w:before="120" w:after="12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>
        <w:rPr>
          <w:b/>
          <w:bCs/>
        </w:rPr>
        <w:t>5</w:t>
      </w:r>
      <w:r w:rsidRPr="00934CA0">
        <w:rPr>
          <w:b/>
          <w:bCs/>
        </w:rPr>
        <w:t>.1</w:t>
      </w:r>
      <w:r>
        <w:t xml:space="preserve"> měl</w:t>
      </w:r>
      <w:r w:rsidR="00EA0C3A">
        <w:t>o</w:t>
      </w:r>
      <w:r>
        <w:t xml:space="preserve"> být realizováno celkem </w:t>
      </w:r>
      <w:r w:rsidR="00EA0C3A">
        <w:t>6</w:t>
      </w:r>
      <w:r>
        <w:t xml:space="preserve"> aktivit. </w:t>
      </w:r>
      <w:r w:rsidR="00EA0C3A">
        <w:t>Splněn</w:t>
      </w:r>
      <w:r w:rsidR="00472AFD">
        <w:t>a</w:t>
      </w:r>
      <w:r w:rsidR="00EA0C3A">
        <w:t xml:space="preserve"> byl</w:t>
      </w:r>
      <w:r w:rsidR="00472AFD">
        <w:t>a</w:t>
      </w:r>
      <w:r w:rsidR="00EA0C3A">
        <w:t xml:space="preserve"> aktivity zaměřen</w:t>
      </w:r>
      <w:r w:rsidR="00472AFD">
        <w:t>á</w:t>
      </w:r>
      <w:r w:rsidR="00EA0C3A">
        <w:t xml:space="preserve"> na</w:t>
      </w:r>
      <w:r w:rsidR="007D18DB">
        <w:t xml:space="preserve"> z</w:t>
      </w:r>
      <w:r w:rsidR="00EA0C3A" w:rsidRPr="00EA0C3A">
        <w:t>mapování aktuálního stavu komunikace institucí veřejné správy s veřejností</w:t>
      </w:r>
      <w:r w:rsidR="007D18DB">
        <w:t>, v</w:t>
      </w:r>
      <w:r w:rsidR="007D18DB" w:rsidRPr="007D18DB">
        <w:t>ypracování metodiky komunikace institucí veřejné správy s veřejností</w:t>
      </w:r>
      <w:r w:rsidR="007D18DB">
        <w:t>, v</w:t>
      </w:r>
      <w:r w:rsidR="007D18DB" w:rsidRPr="007D18DB">
        <w:t>ypracování doporučení k</w:t>
      </w:r>
      <w:r w:rsidR="00C85EAD">
        <w:t xml:space="preserve"> </w:t>
      </w:r>
      <w:r w:rsidR="007D18DB" w:rsidRPr="007D18DB">
        <w:t>tvorbě komunikační strategie</w:t>
      </w:r>
      <w:r w:rsidR="007D18DB">
        <w:t xml:space="preserve"> a n</w:t>
      </w:r>
      <w:r w:rsidR="007D18DB" w:rsidRPr="007D18DB">
        <w:t>ávrh materiálu k tvorbě komunikačních strategií ke schválení vládě ČR</w:t>
      </w:r>
      <w:r w:rsidR="007D18DB">
        <w:t xml:space="preserve">. </w:t>
      </w:r>
      <w:r>
        <w:t>V</w:t>
      </w:r>
      <w:r w:rsidR="00472AFD">
        <w:t xml:space="preserve"> </w:t>
      </w:r>
      <w:r>
        <w:t>následujícím období b</w:t>
      </w:r>
      <w:r w:rsidR="004657C0">
        <w:t>y měla</w:t>
      </w:r>
      <w:r>
        <w:t xml:space="preserve"> pokračovat realizace 1 aktivity</w:t>
      </w:r>
      <w:r w:rsidR="00993037">
        <w:t>,</w:t>
      </w:r>
      <w:r>
        <w:t xml:space="preserve"> a to</w:t>
      </w:r>
      <w:r w:rsidR="00993037">
        <w:t xml:space="preserve"> je</w:t>
      </w:r>
      <w:r>
        <w:t xml:space="preserve"> </w:t>
      </w:r>
      <w:r w:rsidR="007D18DB">
        <w:t>o</w:t>
      </w:r>
      <w:r w:rsidR="007D18DB" w:rsidRPr="007D18DB">
        <w:t>rganizace konferencí, workshopů a</w:t>
      </w:r>
      <w:r w:rsidR="00993037">
        <w:t> </w:t>
      </w:r>
      <w:r w:rsidR="007D18DB" w:rsidRPr="007D18DB">
        <w:t>dalších propagačních aktivit, zvyšujících osvětu o dění ve veřejné správě</w:t>
      </w:r>
      <w:r w:rsidR="007D18DB">
        <w:t>.</w:t>
      </w:r>
    </w:p>
    <w:p w14:paraId="406B2D52" w14:textId="77777777" w:rsidR="002332A5" w:rsidRDefault="002332A5" w:rsidP="00AD6ACA">
      <w:pPr>
        <w:spacing w:before="120"/>
        <w:jc w:val="center"/>
      </w:pPr>
      <w:r>
        <w:rPr>
          <w:noProof/>
        </w:rPr>
        <w:drawing>
          <wp:inline distT="0" distB="0" distL="0" distR="0" wp14:anchorId="0181FD26" wp14:editId="5C58A0E9">
            <wp:extent cx="4572000" cy="2743200"/>
            <wp:effectExtent l="0" t="0" r="0" b="0"/>
            <wp:docPr id="29" name="Graf 29">
              <a:extLst xmlns:a="http://schemas.openxmlformats.org/drawingml/2006/main">
                <a:ext uri="{FF2B5EF4-FFF2-40B4-BE49-F238E27FC236}">
                  <a16:creationId xmlns:a16="http://schemas.microsoft.com/office/drawing/2014/main" id="{3B5AEBAB-1AEE-4B19-8D4E-9B05A5C41C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8735633" w14:textId="518F8240" w:rsidR="002332A5" w:rsidRPr="007D18DB" w:rsidRDefault="002332A5" w:rsidP="00AD6ACA">
      <w:pPr>
        <w:spacing w:before="120" w:after="120" w:line="276" w:lineRule="auto"/>
        <w:jc w:val="both"/>
      </w:pPr>
      <w:r>
        <w:t xml:space="preserve">V rámci </w:t>
      </w:r>
      <w:r w:rsidRPr="00934CA0">
        <w:rPr>
          <w:b/>
          <w:bCs/>
        </w:rPr>
        <w:t xml:space="preserve">Specifického cíle </w:t>
      </w:r>
      <w:r>
        <w:rPr>
          <w:b/>
          <w:bCs/>
        </w:rPr>
        <w:t>5</w:t>
      </w:r>
      <w:r w:rsidRPr="00934CA0">
        <w:rPr>
          <w:b/>
          <w:bCs/>
        </w:rPr>
        <w:t>.</w:t>
      </w:r>
      <w:r>
        <w:rPr>
          <w:b/>
          <w:bCs/>
        </w:rPr>
        <w:t>2</w:t>
      </w:r>
      <w:r>
        <w:t xml:space="preserve"> měl</w:t>
      </w:r>
      <w:r w:rsidR="00CC6FDB">
        <w:t>y</w:t>
      </w:r>
      <w:r>
        <w:t xml:space="preserve"> být realizován</w:t>
      </w:r>
      <w:r w:rsidR="00CC6FDB">
        <w:t>y</w:t>
      </w:r>
      <w:r>
        <w:t xml:space="preserve"> celkem 3 aktivity. Splněna byla aktivita zaměřená na </w:t>
      </w:r>
      <w:r w:rsidR="00B80E90">
        <w:t>z</w:t>
      </w:r>
      <w:r w:rsidR="00B80E90" w:rsidRPr="00B80E90">
        <w:t>pracování analýzy fungování subobecní struktury v ČR</w:t>
      </w:r>
      <w:r w:rsidR="00B80E90">
        <w:t xml:space="preserve">. </w:t>
      </w:r>
      <w:r>
        <w:t>Ostatní aktivity nebyly v Akčním plánu na léta 2021</w:t>
      </w:r>
      <w:r w:rsidR="00993037">
        <w:t>–</w:t>
      </w:r>
      <w:r>
        <w:t>2023 realizovány.</w:t>
      </w:r>
    </w:p>
    <w:p w14:paraId="75B85F94" w14:textId="52C1101B" w:rsidR="002332A5" w:rsidRDefault="00CC6FDB" w:rsidP="00A549C5">
      <w:pPr>
        <w:jc w:val="center"/>
      </w:pPr>
      <w:r>
        <w:rPr>
          <w:noProof/>
        </w:rPr>
        <w:lastRenderedPageBreak/>
        <w:drawing>
          <wp:inline distT="0" distB="0" distL="0" distR="0" wp14:anchorId="5393C203" wp14:editId="1436C27D">
            <wp:extent cx="4572000" cy="2743200"/>
            <wp:effectExtent l="0" t="0" r="0" b="0"/>
            <wp:docPr id="28" name="Graf 28">
              <a:extLst xmlns:a="http://schemas.openxmlformats.org/drawingml/2006/main">
                <a:ext uri="{FF2B5EF4-FFF2-40B4-BE49-F238E27FC236}">
                  <a16:creationId xmlns:a16="http://schemas.microsoft.com/office/drawing/2014/main" id="{000B2E11-4791-4B84-A3F3-1E9D98F217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108DC98" w14:textId="4B52F167" w:rsidR="00FD6FD3" w:rsidRDefault="00B80E90" w:rsidP="00A549C5">
      <w:pPr>
        <w:jc w:val="both"/>
      </w:pPr>
      <w:r w:rsidRPr="00CA2576">
        <w:rPr>
          <w:b/>
          <w:bCs/>
        </w:rPr>
        <w:t>Závěr:</w:t>
      </w:r>
      <w:r w:rsidR="00FD6FD3">
        <w:t xml:space="preserve"> V rámci strategického cíle </w:t>
      </w:r>
      <w:r w:rsidR="00CA2576">
        <w:t>5</w:t>
      </w:r>
      <w:r w:rsidR="00FD6FD3">
        <w:t xml:space="preserve"> bylo plněno téměř 7</w:t>
      </w:r>
      <w:r w:rsidR="00CA2576">
        <w:t>0</w:t>
      </w:r>
      <w:r w:rsidR="00FD6FD3">
        <w:t xml:space="preserve"> % všech aktivit, přičemž splněno bylo téměř </w:t>
      </w:r>
      <w:r w:rsidR="00CA2576">
        <w:t>60</w:t>
      </w:r>
      <w:r w:rsidR="00FD6FD3">
        <w:t> % z nich.</w:t>
      </w:r>
    </w:p>
    <w:p w14:paraId="25DEF392" w14:textId="4803EAA3" w:rsidR="002E3949" w:rsidRDefault="002E3949"/>
    <w:p w14:paraId="25D3DB6E" w14:textId="2A9EAC3D" w:rsidR="00D50251" w:rsidRDefault="0093643D" w:rsidP="0093643D">
      <w:pPr>
        <w:pStyle w:val="Nadpis2"/>
        <w:numPr>
          <w:ilvl w:val="0"/>
          <w:numId w:val="25"/>
        </w:numPr>
        <w:spacing w:after="120" w:line="240" w:lineRule="auto"/>
        <w:rPr>
          <w:rFonts w:eastAsia="Times New Roman"/>
          <w:b/>
          <w:bCs/>
          <w:color w:val="auto"/>
        </w:rPr>
      </w:pPr>
      <w:bookmarkStart w:id="3" w:name="_Toc161832409"/>
      <w:r w:rsidRPr="0093643D">
        <w:rPr>
          <w:rFonts w:eastAsia="Times New Roman"/>
          <w:b/>
          <w:bCs/>
          <w:color w:val="auto"/>
        </w:rPr>
        <w:t>Závěr</w:t>
      </w:r>
      <w:bookmarkEnd w:id="3"/>
    </w:p>
    <w:p w14:paraId="24426D1D" w14:textId="278F55FE" w:rsidR="0093643D" w:rsidRPr="0093643D" w:rsidRDefault="00A13EE0" w:rsidP="00FE7A3C">
      <w:pPr>
        <w:jc w:val="both"/>
      </w:pPr>
      <w:r>
        <w:t>Z celkem 1</w:t>
      </w:r>
      <w:r w:rsidR="00993037">
        <w:t>4</w:t>
      </w:r>
      <w:r>
        <w:t>1 aktivit, které měly být realizovány v rámci plnění Akčního plánu na léta 2021</w:t>
      </w:r>
      <w:r w:rsidR="00993037">
        <w:t>–</w:t>
      </w:r>
      <w:r>
        <w:t>2023</w:t>
      </w:r>
      <w:r w:rsidR="002C7066">
        <w:t>,</w:t>
      </w:r>
      <w:r>
        <w:t xml:space="preserve"> bylo splněno celkem </w:t>
      </w:r>
      <w:r w:rsidR="00FE7A3C">
        <w:t>6</w:t>
      </w:r>
      <w:r w:rsidR="002C7066">
        <w:t>2</w:t>
      </w:r>
      <w:r w:rsidR="00FE7A3C">
        <w:t xml:space="preserve"> z nich a dalších 40 b</w:t>
      </w:r>
      <w:r w:rsidR="00262B98">
        <w:t>y mělo být</w:t>
      </w:r>
      <w:r w:rsidR="00FE7A3C">
        <w:t xml:space="preserve"> plněno v průběhu realizace koncepce Klientsky orientovaná veřejná správa 2030.</w:t>
      </w:r>
      <w:r w:rsidR="00254FF9">
        <w:t xml:space="preserve"> Celkově lze konstatovat, že bylo zahájeno či ukončeno </w:t>
      </w:r>
      <w:r w:rsidR="000F07EE">
        <w:t>téměř 80 % všech aktivit, přičemž téměř 50</w:t>
      </w:r>
      <w:r w:rsidR="00993037">
        <w:t> </w:t>
      </w:r>
      <w:r w:rsidR="000F07EE">
        <w:t>% všech aktivit bylo v období 2021</w:t>
      </w:r>
      <w:r w:rsidR="00993037">
        <w:t>–</w:t>
      </w:r>
      <w:r w:rsidR="000F07EE">
        <w:t>2023 ukončeno.</w:t>
      </w:r>
    </w:p>
    <w:p w14:paraId="52ACEA14" w14:textId="1AFAAE97" w:rsidR="00F97E19" w:rsidRPr="003D637F" w:rsidRDefault="003D637F" w:rsidP="003D637F">
      <w:pPr>
        <w:pStyle w:val="Titulek"/>
        <w:rPr>
          <w:b/>
          <w:bCs/>
          <w:i w:val="0"/>
          <w:iCs w:val="0"/>
          <w:color w:val="auto"/>
        </w:rPr>
      </w:pPr>
      <w:r w:rsidRPr="003D637F">
        <w:rPr>
          <w:b/>
          <w:bCs/>
          <w:i w:val="0"/>
          <w:iCs w:val="0"/>
          <w:color w:val="auto"/>
        </w:rPr>
        <w:t xml:space="preserve">Graf </w:t>
      </w:r>
      <w:r w:rsidRPr="003D637F">
        <w:rPr>
          <w:b/>
          <w:bCs/>
          <w:i w:val="0"/>
          <w:iCs w:val="0"/>
          <w:color w:val="auto"/>
        </w:rPr>
        <w:fldChar w:fldCharType="begin"/>
      </w:r>
      <w:r w:rsidRPr="003D637F">
        <w:rPr>
          <w:b/>
          <w:bCs/>
          <w:i w:val="0"/>
          <w:iCs w:val="0"/>
          <w:color w:val="auto"/>
        </w:rPr>
        <w:instrText xml:space="preserve"> SEQ Graf \* ARABIC </w:instrText>
      </w:r>
      <w:r w:rsidRPr="003D637F">
        <w:rPr>
          <w:b/>
          <w:bCs/>
          <w:i w:val="0"/>
          <w:iCs w:val="0"/>
          <w:color w:val="auto"/>
        </w:rPr>
        <w:fldChar w:fldCharType="separate"/>
      </w:r>
      <w:r w:rsidR="007F5E9D">
        <w:rPr>
          <w:b/>
          <w:bCs/>
          <w:i w:val="0"/>
          <w:iCs w:val="0"/>
          <w:noProof/>
          <w:color w:val="auto"/>
        </w:rPr>
        <w:t>1</w:t>
      </w:r>
      <w:r w:rsidRPr="003D637F">
        <w:rPr>
          <w:b/>
          <w:bCs/>
          <w:i w:val="0"/>
          <w:iCs w:val="0"/>
          <w:color w:val="auto"/>
        </w:rPr>
        <w:fldChar w:fldCharType="end"/>
      </w:r>
      <w:r w:rsidRPr="003D637F">
        <w:rPr>
          <w:b/>
          <w:bCs/>
          <w:i w:val="0"/>
          <w:iCs w:val="0"/>
          <w:color w:val="auto"/>
        </w:rPr>
        <w:t>: Vyhodnocení jednotlivých strategických cílů</w:t>
      </w:r>
      <w:r w:rsidRPr="003D637F">
        <w:rPr>
          <w:b/>
          <w:bCs/>
          <w:i w:val="0"/>
          <w:iCs w:val="0"/>
          <w:noProof/>
          <w:color w:val="auto"/>
        </w:rPr>
        <w:t xml:space="preserve"> koncepce</w:t>
      </w:r>
    </w:p>
    <w:p w14:paraId="6F608D28" w14:textId="6C90A1D5" w:rsidR="005A1D41" w:rsidRDefault="00424AC6" w:rsidP="005A1D41">
      <w:pPr>
        <w:spacing w:after="120" w:line="240" w:lineRule="auto"/>
        <w:jc w:val="both"/>
      </w:pPr>
      <w:r>
        <w:rPr>
          <w:noProof/>
        </w:rPr>
        <w:drawing>
          <wp:inline distT="0" distB="0" distL="0" distR="0" wp14:anchorId="039D4E83" wp14:editId="26B398E2">
            <wp:extent cx="4572000" cy="3124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F9AD190-0D04-4260-876A-7F5D2DE325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624FC7E" w14:textId="77777777" w:rsidR="002B49D8" w:rsidRDefault="002B49D8" w:rsidP="006D751E">
      <w:pPr>
        <w:spacing w:line="240" w:lineRule="auto"/>
        <w:rPr>
          <w:b/>
          <w:bCs/>
        </w:rPr>
      </w:pPr>
    </w:p>
    <w:p w14:paraId="004C862B" w14:textId="77777777" w:rsidR="002B49D8" w:rsidRDefault="002B49D8" w:rsidP="006D751E">
      <w:pPr>
        <w:spacing w:line="240" w:lineRule="auto"/>
        <w:rPr>
          <w:b/>
          <w:bCs/>
        </w:rPr>
      </w:pPr>
    </w:p>
    <w:p w14:paraId="21C2732C" w14:textId="3E67EDB8" w:rsidR="00512720" w:rsidRDefault="00512720" w:rsidP="00512720">
      <w:pPr>
        <w:pStyle w:val="Nadpis2"/>
        <w:numPr>
          <w:ilvl w:val="0"/>
          <w:numId w:val="25"/>
        </w:numPr>
        <w:spacing w:after="120" w:line="240" w:lineRule="auto"/>
        <w:rPr>
          <w:rFonts w:eastAsia="Times New Roman"/>
          <w:b/>
          <w:bCs/>
          <w:color w:val="auto"/>
        </w:rPr>
      </w:pPr>
      <w:bookmarkStart w:id="4" w:name="_Toc161832410"/>
      <w:r>
        <w:rPr>
          <w:rFonts w:eastAsia="Times New Roman"/>
          <w:b/>
          <w:bCs/>
          <w:color w:val="auto"/>
        </w:rPr>
        <w:lastRenderedPageBreak/>
        <w:t>Vyhodnocení plnění indikátorů</w:t>
      </w:r>
      <w:bookmarkEnd w:id="4"/>
    </w:p>
    <w:p w14:paraId="0702CA25" w14:textId="77777777" w:rsidR="00512720" w:rsidRPr="00512720" w:rsidRDefault="00512720" w:rsidP="00512720">
      <w:pPr>
        <w:spacing w:before="120" w:after="0" w:line="276" w:lineRule="auto"/>
        <w:jc w:val="both"/>
        <w:rPr>
          <w:b/>
          <w:bCs/>
        </w:rPr>
      </w:pPr>
      <w:r w:rsidRPr="00512720">
        <w:rPr>
          <w:b/>
          <w:bCs/>
        </w:rPr>
        <w:t>Strategický cíl 1:</w:t>
      </w:r>
    </w:p>
    <w:p w14:paraId="39BB2C03" w14:textId="73F24CC7" w:rsidR="00512720" w:rsidRDefault="001C6369" w:rsidP="00A429D4">
      <w:pPr>
        <w:spacing w:line="240" w:lineRule="auto"/>
        <w:jc w:val="both"/>
        <w:rPr>
          <w:b/>
          <w:bCs/>
        </w:rPr>
      </w:pPr>
      <w:r w:rsidRPr="00510E89">
        <w:t xml:space="preserve">V rámci strategického cíle </w:t>
      </w:r>
      <w:r>
        <w:t>1 mělo být v rámci plnění Akčního plánu 2021-2023 realizováno celkem 19 indikátorů (12 výstupových a 7 výsledkových). Celkem byly splněny 4 indikátory (</w:t>
      </w:r>
      <w:r w:rsidRPr="001C6369">
        <w:t>Počet vytvořených a</w:t>
      </w:r>
      <w:r w:rsidR="00A429D4">
        <w:t> </w:t>
      </w:r>
      <w:r w:rsidRPr="001C6369">
        <w:t>zveřejněných průvodců tzv. životními událostmi</w:t>
      </w:r>
      <w:r>
        <w:t xml:space="preserve">, </w:t>
      </w:r>
      <w:r w:rsidRPr="001C6369">
        <w:t>Počet nových/modifikovaných systémů hodnocení kvality poskytovaných služeb</w:t>
      </w:r>
      <w:r>
        <w:t xml:space="preserve">, </w:t>
      </w:r>
      <w:r w:rsidRPr="001C6369">
        <w:t>Počet osob, proškolených v</w:t>
      </w:r>
      <w:r w:rsidR="00A429D4">
        <w:t xml:space="preserve"> </w:t>
      </w:r>
      <w:r w:rsidRPr="001C6369">
        <w:t>oblasti pro-klientské orientace</w:t>
      </w:r>
      <w:r w:rsidR="00A429D4">
        <w:t xml:space="preserve"> a </w:t>
      </w:r>
      <w:r w:rsidR="00A429D4" w:rsidRPr="00A429D4">
        <w:t>Zpracované Public Governance Review</w:t>
      </w:r>
      <w:r w:rsidR="00A429D4">
        <w:t xml:space="preserve">). Realizace dalších celkem </w:t>
      </w:r>
      <w:r w:rsidR="00CC738B">
        <w:t>6</w:t>
      </w:r>
      <w:r w:rsidR="00A429D4">
        <w:t xml:space="preserve"> indikátorů byla zahájena (</w:t>
      </w:r>
      <w:r w:rsidR="00A429D4" w:rsidRPr="00A429D4">
        <w:t>Počet navržených optimalizačních opatření v rámci řešení životních událostí</w:t>
      </w:r>
      <w:r w:rsidR="00A429D4">
        <w:t xml:space="preserve">, </w:t>
      </w:r>
      <w:r w:rsidR="00A429D4" w:rsidRPr="00A429D4">
        <w:t>Počet pracovníků veřejné správy, informovaných o výstupech Public Governance Review</w:t>
      </w:r>
      <w:r w:rsidR="00A429D4">
        <w:t xml:space="preserve">, </w:t>
      </w:r>
      <w:r w:rsidR="00A429D4" w:rsidRPr="00A429D4">
        <w:t>Vytvořený informační systém elektronické matriky</w:t>
      </w:r>
      <w:r w:rsidR="00CC738B">
        <w:t xml:space="preserve">, </w:t>
      </w:r>
      <w:r w:rsidR="00CC738B" w:rsidRPr="00CC738B">
        <w:t>Počet úkonů v matriční agendě, které si mohou občané vyřídit bez vazby na místní příslušnost</w:t>
      </w:r>
      <w:r w:rsidR="00CC738B">
        <w:t xml:space="preserve">, </w:t>
      </w:r>
      <w:r w:rsidR="00CC738B" w:rsidRPr="00CC738B">
        <w:t>Redefinice soustavy obcí pro výkon přenesené působnosti</w:t>
      </w:r>
      <w:r w:rsidR="00CC738B">
        <w:t xml:space="preserve"> a </w:t>
      </w:r>
      <w:r w:rsidR="00CC738B" w:rsidRPr="00CC738B">
        <w:t>Počet částí agend veřejné správy, které si mohou klienti vyřídit bez vazby na místní příslušnost</w:t>
      </w:r>
      <w:r w:rsidR="00CC738B">
        <w:t>). Naplňování zbývajících indikátorů zahájen</w:t>
      </w:r>
      <w:r w:rsidR="000E66E1">
        <w:t>o</w:t>
      </w:r>
      <w:r w:rsidR="00CC738B">
        <w:t xml:space="preserve"> nebyl</w:t>
      </w:r>
      <w:r w:rsidR="000E66E1">
        <w:t>o</w:t>
      </w:r>
      <w:r w:rsidR="00CC738B">
        <w:t>.</w:t>
      </w:r>
    </w:p>
    <w:p w14:paraId="36F0347B" w14:textId="5F47A10F" w:rsidR="00512720" w:rsidRPr="00474391" w:rsidRDefault="00512720" w:rsidP="00512720">
      <w:pPr>
        <w:spacing w:before="120" w:after="0" w:line="276" w:lineRule="auto"/>
        <w:jc w:val="both"/>
        <w:rPr>
          <w:b/>
          <w:bCs/>
        </w:rPr>
      </w:pPr>
      <w:r w:rsidRPr="00474391">
        <w:rPr>
          <w:b/>
          <w:bCs/>
        </w:rPr>
        <w:t xml:space="preserve">Strategický cíl </w:t>
      </w:r>
      <w:r>
        <w:rPr>
          <w:b/>
          <w:bCs/>
        </w:rPr>
        <w:t>2</w:t>
      </w:r>
      <w:r w:rsidRPr="00474391">
        <w:rPr>
          <w:b/>
          <w:bCs/>
        </w:rPr>
        <w:t>:</w:t>
      </w:r>
    </w:p>
    <w:p w14:paraId="3D8B3D7B" w14:textId="200EB99E" w:rsidR="00512720" w:rsidRPr="00D147CC" w:rsidRDefault="00466966" w:rsidP="00E51950">
      <w:pPr>
        <w:spacing w:line="240" w:lineRule="auto"/>
        <w:jc w:val="both"/>
      </w:pPr>
      <w:r w:rsidRPr="00510E89">
        <w:t xml:space="preserve">V rámci strategického cíle </w:t>
      </w:r>
      <w:r>
        <w:t>2 mělo být v rámci plnění Akčního plánu 2021-2023 realizováno celkem 31 indikátorů (17 výstupových a 14 výsledkových).</w:t>
      </w:r>
      <w:r w:rsidR="00E51950" w:rsidRPr="00E51950">
        <w:t xml:space="preserve"> </w:t>
      </w:r>
      <w:r w:rsidR="00E51950">
        <w:t xml:space="preserve">Celkem bylo splněno </w:t>
      </w:r>
      <w:r w:rsidR="00D147CC">
        <w:t>5</w:t>
      </w:r>
      <w:r w:rsidR="00E51950">
        <w:t xml:space="preserve"> indikátorů (</w:t>
      </w:r>
      <w:r w:rsidR="00E51950" w:rsidRPr="00E51950">
        <w:t>Počet agend, nově financovaných adresně</w:t>
      </w:r>
      <w:r w:rsidR="00E51950">
        <w:t xml:space="preserve">, </w:t>
      </w:r>
      <w:r w:rsidR="00E51950" w:rsidRPr="00E51950">
        <w:t>Zpracovaný věcný záměr zákona o finanční kontrole</w:t>
      </w:r>
      <w:r w:rsidR="00E51950">
        <w:t xml:space="preserve">, </w:t>
      </w:r>
      <w:r w:rsidR="00E51950" w:rsidRPr="00E51950">
        <w:t>Počet nově vypracovaných a zveřejněných analytických materiálů v</w:t>
      </w:r>
      <w:r w:rsidR="00D147CC">
        <w:t xml:space="preserve"> </w:t>
      </w:r>
      <w:r w:rsidR="00E51950" w:rsidRPr="00E51950">
        <w:t>oblasti kontroly nakládání s</w:t>
      </w:r>
      <w:r w:rsidR="00D147CC">
        <w:t xml:space="preserve"> </w:t>
      </w:r>
      <w:r w:rsidR="00E51950" w:rsidRPr="00E51950">
        <w:t>veřejnými prostředky</w:t>
      </w:r>
      <w:r w:rsidR="00D147CC">
        <w:t>,</w:t>
      </w:r>
      <w:r w:rsidR="00D147CC" w:rsidRPr="00D147CC">
        <w:t xml:space="preserve"> Počet kontrolních institucí, které vzájemně sdílejí kontrolní výstupy</w:t>
      </w:r>
      <w:r w:rsidR="00D147CC">
        <w:t xml:space="preserve"> a</w:t>
      </w:r>
      <w:r w:rsidR="00D147CC" w:rsidRPr="00D147CC">
        <w:t xml:space="preserve"> Počet provedených přezkumů účinnosti v návaznosti na nově nastavený mechanismus</w:t>
      </w:r>
      <w:r w:rsidR="00D147CC">
        <w:t>).</w:t>
      </w:r>
      <w:r w:rsidR="0078380F">
        <w:t xml:space="preserve"> Plnění dalších </w:t>
      </w:r>
      <w:r w:rsidR="003E78A8">
        <w:t>8</w:t>
      </w:r>
      <w:r w:rsidR="0078380F">
        <w:t xml:space="preserve"> indikátorů bylo zahájeno (</w:t>
      </w:r>
      <w:r w:rsidR="008A74AC" w:rsidRPr="008A74AC">
        <w:t>Počet vypracovaných a zveřejněných analytických materiálů v oblasti řízení a koordinace veřejné správy</w:t>
      </w:r>
      <w:r w:rsidR="008A74AC">
        <w:t xml:space="preserve">, </w:t>
      </w:r>
      <w:r w:rsidR="008A74AC" w:rsidRPr="008A74AC">
        <w:t>Podíl agend, financovaných adresně</w:t>
      </w:r>
      <w:r w:rsidR="008A74AC">
        <w:t xml:space="preserve">, </w:t>
      </w:r>
      <w:r w:rsidR="008A74AC" w:rsidRPr="008A74AC">
        <w:t>Provedená evaluace procesu RIA</w:t>
      </w:r>
      <w:r w:rsidR="008A74AC">
        <w:t xml:space="preserve">, </w:t>
      </w:r>
      <w:r w:rsidR="008A74AC" w:rsidRPr="008A74AC">
        <w:t>Počet revidovaných základních metodických dokumentů v oblasti RIA</w:t>
      </w:r>
      <w:r w:rsidR="008A74AC">
        <w:t xml:space="preserve">, </w:t>
      </w:r>
      <w:r w:rsidR="008A74AC" w:rsidRPr="008A74AC">
        <w:t>Počet pracovníků státní správy, proškolených ve zpracování RIA</w:t>
      </w:r>
      <w:r w:rsidR="003E78A8">
        <w:t xml:space="preserve">, </w:t>
      </w:r>
      <w:r w:rsidR="003E78A8" w:rsidRPr="003E78A8">
        <w:t>Počet přístupů do Sbírky právních předpisů e-Sbírka</w:t>
      </w:r>
      <w:r w:rsidR="003E78A8">
        <w:t xml:space="preserve">, </w:t>
      </w:r>
      <w:r w:rsidR="003E78A8" w:rsidRPr="003E78A8">
        <w:t>Počet zformovaných seskupení obcí v hranicích ORP</w:t>
      </w:r>
      <w:r w:rsidR="003E78A8">
        <w:t xml:space="preserve">, </w:t>
      </w:r>
      <w:r w:rsidR="003E78A8" w:rsidRPr="003E78A8">
        <w:t>Počet vzniklých inovativních řešení ve veřejné správ</w:t>
      </w:r>
      <w:r w:rsidR="003E78A8">
        <w:t>). Naplňování zbývajících indikátorů zahájeno nebylo.</w:t>
      </w:r>
    </w:p>
    <w:p w14:paraId="5B6E0AFB" w14:textId="77777777" w:rsidR="000E05F0" w:rsidRPr="00474391" w:rsidRDefault="000E05F0" w:rsidP="000E05F0">
      <w:pPr>
        <w:spacing w:before="120" w:after="0" w:line="276" w:lineRule="auto"/>
        <w:jc w:val="both"/>
        <w:rPr>
          <w:b/>
          <w:bCs/>
        </w:rPr>
      </w:pPr>
      <w:r w:rsidRPr="00474391">
        <w:rPr>
          <w:b/>
          <w:bCs/>
        </w:rPr>
        <w:t xml:space="preserve">Strategický cíl </w:t>
      </w:r>
      <w:r>
        <w:rPr>
          <w:b/>
          <w:bCs/>
        </w:rPr>
        <w:t>3</w:t>
      </w:r>
      <w:r w:rsidRPr="00474391">
        <w:rPr>
          <w:b/>
          <w:bCs/>
        </w:rPr>
        <w:t>:</w:t>
      </w:r>
    </w:p>
    <w:p w14:paraId="6EA53FD3" w14:textId="493A1B1A" w:rsidR="00CE0CE9" w:rsidRDefault="000E05F0" w:rsidP="00CE0CE9">
      <w:pPr>
        <w:spacing w:line="240" w:lineRule="auto"/>
        <w:jc w:val="both"/>
      </w:pPr>
      <w:r w:rsidRPr="00510E89">
        <w:t xml:space="preserve">V rámci strategického cíle </w:t>
      </w:r>
      <w:r>
        <w:t xml:space="preserve">3 mělo být v rámci plnění Akčního plánu 2021–2023 realizováno celkem 41 indikátorů (26 výstupových a 14 výsledkových). Celkem bylo splněno 15 indikátorů </w:t>
      </w:r>
      <w:r w:rsidRPr="00A44A69">
        <w:t>(</w:t>
      </w:r>
      <w:r w:rsidRPr="00276347">
        <w:t>Počet vzájemných setkání analytiků v rámci Pracovní skupiny pro spolupráci analytických útvarů</w:t>
      </w:r>
      <w:r w:rsidRPr="00A44A69">
        <w:t xml:space="preserve">, </w:t>
      </w:r>
      <w:r w:rsidRPr="00276347">
        <w:t>Počet vypracovaných a zveřejněných metodických dokumentů v oblasti řízení úřadů ÚSC</w:t>
      </w:r>
      <w:r w:rsidRPr="00A44A69">
        <w:t>, Počet vypracovaných a</w:t>
      </w:r>
      <w:r w:rsidR="0037061F">
        <w:t> </w:t>
      </w:r>
      <w:r w:rsidRPr="00A44A69">
        <w:t>zveřejněných metodických dokumentů v</w:t>
      </w:r>
      <w:r w:rsidR="0037061F">
        <w:t xml:space="preserve"> </w:t>
      </w:r>
      <w:r w:rsidRPr="00A44A69">
        <w:t>oblasti řízení kvality úřadů státní služby, Počet vytvořených nástrojů, podporujících řízení kvality ve služebních úřadech, Počet zaměstnanců ÚSC, proškolených v</w:t>
      </w:r>
      <w:r w:rsidR="0037061F">
        <w:t> </w:t>
      </w:r>
      <w:r w:rsidRPr="00A44A69">
        <w:t>oblasti řízení a organizace ÚSC, Počet služebních úřadů podpořených v</w:t>
      </w:r>
      <w:r w:rsidR="0037061F">
        <w:t xml:space="preserve"> </w:t>
      </w:r>
      <w:r w:rsidRPr="00A44A69">
        <w:t>oblasti řízení</w:t>
      </w:r>
      <w:r>
        <w:t xml:space="preserve"> kvality, Počet účastníků školení v</w:t>
      </w:r>
      <w:r w:rsidR="0037061F">
        <w:t xml:space="preserve"> </w:t>
      </w:r>
      <w:r>
        <w:t>oblasti řízení kvality služebních úřadů, Počet služebních úřadů s</w:t>
      </w:r>
      <w:r w:rsidR="0037061F">
        <w:t xml:space="preserve"> </w:t>
      </w:r>
      <w:r>
        <w:t xml:space="preserve">prokazatelných zvýšením kvality řízení úřadu, Počet provedených externích přezkumů vyhodnocení míry naplňování požadavků Metodického pokynu pro řízení kvality ve služebních úřadech, </w:t>
      </w:r>
      <w:r w:rsidRPr="00691612">
        <w:t>Počet úřadů ÚSC, oceněných za úspěchy v oblasti řízení úřadu</w:t>
      </w:r>
      <w:r>
        <w:t xml:space="preserve">, </w:t>
      </w:r>
      <w:r w:rsidRPr="00691612">
        <w:t>Vytvořené centrum metodické podpory strategické práce</w:t>
      </w:r>
      <w:r>
        <w:t xml:space="preserve">, </w:t>
      </w:r>
      <w:r w:rsidRPr="00276347">
        <w:t>Vytvoření vzdělávacího modulu programu STRATeduka</w:t>
      </w:r>
      <w:r w:rsidRPr="00A44A69">
        <w:t xml:space="preserve"> na oblast inovací ve strategickém řízení, Vypracovaný a</w:t>
      </w:r>
      <w:r w:rsidR="0037061F">
        <w:t> </w:t>
      </w:r>
      <w:r w:rsidRPr="00A44A69">
        <w:t>zveřejněný návrh minimálních standardů projektového řízení v rámci institucí státní správy, Vytvořený kompetenční model projektového manažera v institucích státní správy včetně vzdělávacího modulu a Počet vytvořených metodik v projektovém řízení ve státní správě) bylo ve sledovaném období splněno. Realizace plnění dalších 21 indikátorů byla zahájena (Počet zrealizovaných propagačních</w:t>
      </w:r>
      <w:r w:rsidRPr="00F42849">
        <w:t xml:space="preserve"> aktivit na podporu evidence-informed rozhodování</w:t>
      </w:r>
      <w:r>
        <w:t xml:space="preserve">, </w:t>
      </w:r>
      <w:r w:rsidRPr="00F42849">
        <w:t>Počet vydaných Výročních zpráv o stavu veřejné správy</w:t>
      </w:r>
      <w:r>
        <w:t xml:space="preserve">, </w:t>
      </w:r>
      <w:r w:rsidRPr="00F42849">
        <w:t>Počet úřadů ÚSC, které zavedly systém řízení úřadu dle nově vzniklého metodického doporučení</w:t>
      </w:r>
      <w:r>
        <w:t xml:space="preserve">, , </w:t>
      </w:r>
      <w:r w:rsidRPr="00E255AE">
        <w:t>Počet osvětových a propagačních materiálů, vzniklých za účelem propagace obecně strategického a environmentálně odpovědného zadávání veřejných zakázek</w:t>
      </w:r>
      <w:r>
        <w:t xml:space="preserve">, </w:t>
      </w:r>
      <w:r w:rsidRPr="00422CD9">
        <w:t>Počet vypracovaných a</w:t>
      </w:r>
      <w:r w:rsidR="0037061F">
        <w:t> </w:t>
      </w:r>
      <w:r w:rsidRPr="00422CD9">
        <w:t>zveřejněných metodických dokumentů v oblasti strategického a environmentálně odpovědného zadávání veřejných zakázek</w:t>
      </w:r>
      <w:r>
        <w:t xml:space="preserve">, </w:t>
      </w:r>
      <w:r w:rsidRPr="00422CD9">
        <w:t>Počet adresně provedených konzultací v</w:t>
      </w:r>
      <w:r>
        <w:t xml:space="preserve"> </w:t>
      </w:r>
      <w:r w:rsidRPr="00422CD9">
        <w:t xml:space="preserve">oblasti strategického zadávání </w:t>
      </w:r>
      <w:r w:rsidRPr="00422CD9">
        <w:lastRenderedPageBreak/>
        <w:t>veřejných zakázek</w:t>
      </w:r>
      <w:r>
        <w:t xml:space="preserve">, </w:t>
      </w:r>
      <w:r w:rsidRPr="00422CD9">
        <w:t>Počet adresně provedených konzultací v</w:t>
      </w:r>
      <w:r>
        <w:t xml:space="preserve"> </w:t>
      </w:r>
      <w:r w:rsidRPr="00422CD9">
        <w:t>oblasti strategického zadávání veřejných zakázek</w:t>
      </w:r>
      <w:r>
        <w:t xml:space="preserve">, </w:t>
      </w:r>
      <w:r w:rsidRPr="00422CD9">
        <w:t>Počet resortů, jejichž vybraní pracovníci byli proškoleni ve vzdělávacím programu znalostí a</w:t>
      </w:r>
      <w:r w:rsidR="0037061F">
        <w:t> </w:t>
      </w:r>
      <w:r w:rsidRPr="00422CD9">
        <w:t>dovedností pro udržitelnou tvorbu politik</w:t>
      </w:r>
      <w:r>
        <w:t xml:space="preserve">, </w:t>
      </w:r>
      <w:r w:rsidRPr="00422CD9">
        <w:t>Počet pracovníků veřejné správy, proškolených ve vzdělávacím programu všeobecných znalostí z</w:t>
      </w:r>
      <w:r>
        <w:t xml:space="preserve"> </w:t>
      </w:r>
      <w:r w:rsidRPr="00422CD9">
        <w:t>perspektivy udržitelného rozvoje</w:t>
      </w:r>
      <w:r>
        <w:t xml:space="preserve">, </w:t>
      </w:r>
      <w:r w:rsidRPr="00422CD9">
        <w:t>Počet pracovníků veřejné správy, proškolených v</w:t>
      </w:r>
      <w:r>
        <w:t xml:space="preserve"> </w:t>
      </w:r>
      <w:r w:rsidRPr="00422CD9">
        <w:t>oblasti strategického i environmentálního zadávání veřejných zakázek</w:t>
      </w:r>
      <w:r>
        <w:t xml:space="preserve">, </w:t>
      </w:r>
      <w:r w:rsidRPr="00422CD9">
        <w:t>Počet resortů jako veřejných zadavatelů, které implementovaly strategické zadávání veřejných zakázek</w:t>
      </w:r>
      <w:r>
        <w:t xml:space="preserve">, </w:t>
      </w:r>
      <w:r w:rsidRPr="00422CD9">
        <w:t>Objem veřejných zakázek, zrealizovaných v souladu s postupy environmentálně odpovědného zadávání</w:t>
      </w:r>
      <w:r>
        <w:t xml:space="preserve">, </w:t>
      </w:r>
      <w:r w:rsidRPr="00DA0CF4">
        <w:t>Počet přístupů na Informační webový portál strategického zadávání veřejných zakázek</w:t>
      </w:r>
      <w:r>
        <w:t xml:space="preserve">, </w:t>
      </w:r>
      <w:r w:rsidRPr="00DA0CF4">
        <w:t>Počet zpracovaných a zveřejněných metodických dokumentů a metodických a technických nástrojů v</w:t>
      </w:r>
      <w:r>
        <w:t xml:space="preserve"> </w:t>
      </w:r>
      <w:r w:rsidRPr="00DA0CF4">
        <w:t>oblasti strategické práce</w:t>
      </w:r>
      <w:r>
        <w:t xml:space="preserve">, </w:t>
      </w:r>
      <w:r w:rsidRPr="00DA0CF4">
        <w:t>Vypracovaný návrh na propojení strategického řízení s rozpočtováním</w:t>
      </w:r>
      <w:r>
        <w:t xml:space="preserve">, </w:t>
      </w:r>
      <w:r w:rsidRPr="00DA0CF4">
        <w:t>Počet případových studií k ověření koherence politik</w:t>
      </w:r>
      <w:r>
        <w:t xml:space="preserve">, </w:t>
      </w:r>
      <w:r w:rsidRPr="00DA0CF4">
        <w:t>Nově zformovaná platforma expertů pro strategické řízení</w:t>
      </w:r>
      <w:r>
        <w:t xml:space="preserve">, </w:t>
      </w:r>
      <w:r w:rsidRPr="00DA0CF4">
        <w:t>Počet proškolených pracovníků veřejné správy v oblasti strategického řízení</w:t>
      </w:r>
      <w:r>
        <w:t>,</w:t>
      </w:r>
      <w:r w:rsidRPr="00DA0CF4">
        <w:t xml:space="preserve"> Podíl stratégů, kteří si zvýšili kvalifikaci v oblasti strategické práce</w:t>
      </w:r>
      <w:r>
        <w:t xml:space="preserve">, </w:t>
      </w:r>
      <w:r w:rsidRPr="00DA0CF4">
        <w:t>Podíl institucí státní správy, disponujících nově ustaveným resp. posíleným strategickým pracovištěm</w:t>
      </w:r>
      <w:r>
        <w:t xml:space="preserve"> a </w:t>
      </w:r>
      <w:r w:rsidRPr="00DA0CF4">
        <w:t>Podíl ústředních orgánů státní správy, které své metodiky projektového řízení přizpůsobily nově zavedeným minimálním standardům projektového řízení, případně na základě minimálních standardů metodiku projektového řízení nově zavedly</w:t>
      </w:r>
      <w:r>
        <w:t>). Realizace ostatních indikátorů nebyla zahájena.</w:t>
      </w:r>
    </w:p>
    <w:p w14:paraId="1C597C13" w14:textId="751CD85C" w:rsidR="00512720" w:rsidRPr="00474391" w:rsidRDefault="00512720" w:rsidP="00CE0CE9">
      <w:pPr>
        <w:spacing w:line="240" w:lineRule="auto"/>
        <w:jc w:val="both"/>
        <w:rPr>
          <w:b/>
          <w:bCs/>
        </w:rPr>
      </w:pPr>
      <w:r w:rsidRPr="00474391">
        <w:rPr>
          <w:b/>
          <w:bCs/>
        </w:rPr>
        <w:t xml:space="preserve">Strategický cíl </w:t>
      </w:r>
      <w:r>
        <w:rPr>
          <w:b/>
          <w:bCs/>
        </w:rPr>
        <w:t>4</w:t>
      </w:r>
      <w:r w:rsidRPr="00474391">
        <w:rPr>
          <w:b/>
          <w:bCs/>
        </w:rPr>
        <w:t>:</w:t>
      </w:r>
    </w:p>
    <w:p w14:paraId="3F85F7BB" w14:textId="39761042" w:rsidR="00512720" w:rsidRDefault="00E65FC6" w:rsidP="008B7375">
      <w:pPr>
        <w:spacing w:line="240" w:lineRule="auto"/>
        <w:jc w:val="both"/>
        <w:rPr>
          <w:b/>
          <w:bCs/>
        </w:rPr>
      </w:pPr>
      <w:r w:rsidRPr="00510E89">
        <w:t xml:space="preserve">V rámci strategického cíle </w:t>
      </w:r>
      <w:r>
        <w:t xml:space="preserve">4 mělo být v rámci plnění Akčního plánu 2021-2023 </w:t>
      </w:r>
      <w:r w:rsidR="00417EC6">
        <w:t xml:space="preserve">realizováno </w:t>
      </w:r>
      <w:r>
        <w:t>celkem 10 indikátorů (6 výstupové a 4 výsledkové).</w:t>
      </w:r>
      <w:r w:rsidR="008B7375">
        <w:t xml:space="preserve"> Pouze 1 indikátor byl splněn (</w:t>
      </w:r>
      <w:r w:rsidR="008B7375" w:rsidRPr="008B7375">
        <w:t>Počet zpracovaných a</w:t>
      </w:r>
      <w:r w:rsidR="00C76F83">
        <w:t> </w:t>
      </w:r>
      <w:r w:rsidR="008B7375" w:rsidRPr="008B7375">
        <w:t>zveřejněných analytických materiálů v</w:t>
      </w:r>
      <w:r w:rsidR="00417EC6">
        <w:t xml:space="preserve"> </w:t>
      </w:r>
      <w:r w:rsidR="008B7375" w:rsidRPr="008B7375">
        <w:t>oblasti zkvalitňování vzdělávání ve státní správě</w:t>
      </w:r>
      <w:r w:rsidR="008B7375">
        <w:t>). Dalších 5 indikátorů bylo plněno (</w:t>
      </w:r>
      <w:r w:rsidR="008B7375" w:rsidRPr="008B7375">
        <w:t>Zavedená povinnost volených zástupců, vykonávajících přenesenou působnost, vykonat ZOZ</w:t>
      </w:r>
      <w:r w:rsidR="008B7375">
        <w:t xml:space="preserve">, </w:t>
      </w:r>
      <w:r w:rsidR="008B7375" w:rsidRPr="008B7375">
        <w:t>Podíl proškolených volených zástupců</w:t>
      </w:r>
      <w:r w:rsidR="008B7375">
        <w:t xml:space="preserve">, </w:t>
      </w:r>
      <w:r w:rsidR="00417EC6" w:rsidRPr="00417EC6">
        <w:t>Implementované řešení, vzešlé z</w:t>
      </w:r>
      <w:r w:rsidR="001B480D">
        <w:t> </w:t>
      </w:r>
      <w:r w:rsidR="00417EC6" w:rsidRPr="00417EC6">
        <w:t>analýzy správních činností</w:t>
      </w:r>
      <w:r w:rsidR="00417EC6">
        <w:t xml:space="preserve">, </w:t>
      </w:r>
      <w:r w:rsidR="00417EC6" w:rsidRPr="00417EC6">
        <w:t>Počet zpracovaných a zveřejněných analytických materiálů v</w:t>
      </w:r>
      <w:r w:rsidR="00417EC6">
        <w:t xml:space="preserve"> </w:t>
      </w:r>
      <w:r w:rsidR="00417EC6" w:rsidRPr="00417EC6">
        <w:t>oblasti vzdělávání úředníků ÚSC</w:t>
      </w:r>
      <w:r w:rsidR="00417EC6">
        <w:t xml:space="preserve"> a </w:t>
      </w:r>
      <w:r w:rsidR="00417EC6" w:rsidRPr="00417EC6">
        <w:t>Podíl vytvořených standardů správních činností v působnosti územních samosprávných celků</w:t>
      </w:r>
      <w:r w:rsidR="00417EC6">
        <w:t>).</w:t>
      </w:r>
      <w:r w:rsidR="001B480D">
        <w:t xml:space="preserve"> Plnění ostatních indikátorů nebylo plněno s ohledem na nerealizaci s tím spojených aktivit.</w:t>
      </w:r>
    </w:p>
    <w:p w14:paraId="38F35CE8" w14:textId="1041B66C" w:rsidR="00512720" w:rsidRPr="00474391" w:rsidRDefault="00512720" w:rsidP="00512720">
      <w:pPr>
        <w:spacing w:before="120" w:after="0" w:line="276" w:lineRule="auto"/>
        <w:jc w:val="both"/>
        <w:rPr>
          <w:b/>
          <w:bCs/>
        </w:rPr>
      </w:pPr>
      <w:r w:rsidRPr="00474391">
        <w:rPr>
          <w:b/>
          <w:bCs/>
        </w:rPr>
        <w:t xml:space="preserve">Strategický cíl </w:t>
      </w:r>
      <w:r>
        <w:rPr>
          <w:b/>
          <w:bCs/>
        </w:rPr>
        <w:t>5</w:t>
      </w:r>
      <w:r w:rsidRPr="00474391">
        <w:rPr>
          <w:b/>
          <w:bCs/>
        </w:rPr>
        <w:t>:</w:t>
      </w:r>
    </w:p>
    <w:p w14:paraId="79331D2E" w14:textId="4168067B" w:rsidR="00512720" w:rsidRDefault="00510E89" w:rsidP="008D0BB7">
      <w:pPr>
        <w:spacing w:line="240" w:lineRule="auto"/>
        <w:jc w:val="both"/>
      </w:pPr>
      <w:r w:rsidRPr="00510E89">
        <w:t xml:space="preserve">V rámci strategického cíle </w:t>
      </w:r>
      <w:r w:rsidR="00922AF0">
        <w:t xml:space="preserve">5 mělo být v rámci plnění Akčního plánu 2021-2023 </w:t>
      </w:r>
      <w:r w:rsidR="00C76F83">
        <w:t xml:space="preserve">realizováno </w:t>
      </w:r>
      <w:r w:rsidR="00922AF0">
        <w:t xml:space="preserve">celkem </w:t>
      </w:r>
      <w:r w:rsidR="007D546C">
        <w:t>6</w:t>
      </w:r>
      <w:r w:rsidR="00922AF0">
        <w:t xml:space="preserve"> indikátor</w:t>
      </w:r>
      <w:r w:rsidR="007D546C">
        <w:t>ů</w:t>
      </w:r>
      <w:r w:rsidR="00922AF0">
        <w:t xml:space="preserve"> (</w:t>
      </w:r>
      <w:r w:rsidR="007D546C">
        <w:t>2</w:t>
      </w:r>
      <w:r w:rsidR="00922AF0">
        <w:t xml:space="preserve"> výstupové a </w:t>
      </w:r>
      <w:r w:rsidR="007D546C">
        <w:t>4</w:t>
      </w:r>
      <w:r w:rsidR="00922AF0">
        <w:t xml:space="preserve"> výsledkové). </w:t>
      </w:r>
      <w:r w:rsidR="00AF5B73">
        <w:t>Celkem 2 výs</w:t>
      </w:r>
      <w:r w:rsidR="008D0BB7">
        <w:t>t</w:t>
      </w:r>
      <w:r w:rsidR="00AF5B73">
        <w:t xml:space="preserve">upové a jeden </w:t>
      </w:r>
      <w:r w:rsidR="008D0BB7">
        <w:t>výsledkový indikátor byly splněny (</w:t>
      </w:r>
      <w:r w:rsidR="00A5099F">
        <w:t>P</w:t>
      </w:r>
      <w:r w:rsidR="008D0BB7" w:rsidRPr="008D0BB7">
        <w:t>očet vypracovaných a zveřejněných metodických dokumentů v</w:t>
      </w:r>
      <w:r w:rsidR="009E7DBB">
        <w:t xml:space="preserve"> </w:t>
      </w:r>
      <w:r w:rsidR="008D0BB7" w:rsidRPr="008D0BB7">
        <w:t>oblasti komunikace veřejné správy s veřejností</w:t>
      </w:r>
      <w:r w:rsidR="008D0BB7">
        <w:t xml:space="preserve">, </w:t>
      </w:r>
      <w:r w:rsidR="00A5099F">
        <w:t>P</w:t>
      </w:r>
      <w:r w:rsidR="008D0BB7" w:rsidRPr="008D0BB7">
        <w:t>očet vypracovaných a zveřejněných metodických dokumentů a nástrojů v</w:t>
      </w:r>
      <w:r w:rsidR="008D0BB7">
        <w:t xml:space="preserve"> </w:t>
      </w:r>
      <w:r w:rsidR="008D0BB7" w:rsidRPr="008D0BB7">
        <w:t>oblasti participace občanů na veřejném dění</w:t>
      </w:r>
      <w:r w:rsidR="008D0BB7">
        <w:t xml:space="preserve"> a </w:t>
      </w:r>
      <w:r w:rsidR="00A5099F">
        <w:t>P</w:t>
      </w:r>
      <w:r w:rsidR="008D0BB7" w:rsidRPr="008D0BB7">
        <w:t>odíl ústředních orgánů státní správy se zpracovanou komunikační strategií</w:t>
      </w:r>
      <w:r w:rsidR="00BB5E7E">
        <w:t>). U jednoho indikátoru (p</w:t>
      </w:r>
      <w:r w:rsidR="00BB5E7E" w:rsidRPr="00BB5E7E">
        <w:t>odíl ústředních orgánů státní správy, využívajících netradiční nástroje participace</w:t>
      </w:r>
      <w:r w:rsidR="00BB5E7E">
        <w:t>) bylo plnění zahájeno</w:t>
      </w:r>
      <w:r w:rsidR="009E7DBB">
        <w:t xml:space="preserve">. </w:t>
      </w:r>
      <w:r w:rsidR="00281BB2">
        <w:t>Míra naplnění i</w:t>
      </w:r>
      <w:r w:rsidR="009E7DBB">
        <w:t>ndikátor</w:t>
      </w:r>
      <w:r w:rsidR="00281BB2">
        <w:t>u</w:t>
      </w:r>
      <w:r w:rsidR="009E7DBB">
        <w:t xml:space="preserve"> </w:t>
      </w:r>
      <w:r w:rsidR="00281BB2">
        <w:t>M</w:t>
      </w:r>
      <w:r w:rsidR="00281BB2" w:rsidRPr="00281BB2">
        <w:t>íra informovanosti občanů o dění ve veřejné správě</w:t>
      </w:r>
      <w:r w:rsidR="00281BB2">
        <w:t xml:space="preserve"> a Z</w:t>
      </w:r>
      <w:r w:rsidR="00281BB2" w:rsidRPr="00281BB2">
        <w:t>ájem politiků o názory občanů a možnosti občanů ovlivnit veřejnou sféru</w:t>
      </w:r>
      <w:r w:rsidR="00281BB2">
        <w:t xml:space="preserve"> nebyla v předmětném období měřena</w:t>
      </w:r>
      <w:r w:rsidR="00A5099F">
        <w:t>.</w:t>
      </w:r>
    </w:p>
    <w:p w14:paraId="4ECD6A3C" w14:textId="39715990" w:rsidR="00E00B29" w:rsidRDefault="00E00B29" w:rsidP="008D0BB7">
      <w:pPr>
        <w:spacing w:line="240" w:lineRule="auto"/>
        <w:jc w:val="both"/>
      </w:pPr>
    </w:p>
    <w:p w14:paraId="682E3A67" w14:textId="756BD4E7" w:rsidR="00E00B29" w:rsidRDefault="00C12738" w:rsidP="00E00B29">
      <w:pPr>
        <w:pStyle w:val="Nadpis2"/>
        <w:numPr>
          <w:ilvl w:val="0"/>
          <w:numId w:val="25"/>
        </w:numPr>
        <w:spacing w:after="120" w:line="240" w:lineRule="auto"/>
        <w:rPr>
          <w:rFonts w:eastAsia="Times New Roman"/>
          <w:b/>
          <w:bCs/>
          <w:color w:val="auto"/>
        </w:rPr>
      </w:pPr>
      <w:bookmarkStart w:id="5" w:name="_Toc161832411"/>
      <w:r>
        <w:rPr>
          <w:rFonts w:eastAsia="Times New Roman"/>
          <w:b/>
          <w:bCs/>
          <w:color w:val="auto"/>
        </w:rPr>
        <w:t>Závěr</w:t>
      </w:r>
      <w:bookmarkEnd w:id="5"/>
    </w:p>
    <w:p w14:paraId="4C85B404" w14:textId="2FA9769A" w:rsidR="00C12738" w:rsidRDefault="00E00B29" w:rsidP="008D0BB7">
      <w:pPr>
        <w:spacing w:line="240" w:lineRule="auto"/>
        <w:jc w:val="both"/>
      </w:pPr>
      <w:r>
        <w:t xml:space="preserve">S ohledem </w:t>
      </w:r>
      <w:r w:rsidR="00594E96">
        <w:t xml:space="preserve">na výše uvedené je nutné konstatovat, že </w:t>
      </w:r>
      <w:r w:rsidR="004B6B70">
        <w:t xml:space="preserve">u </w:t>
      </w:r>
      <w:r w:rsidR="00594E96">
        <w:t>většin</w:t>
      </w:r>
      <w:r w:rsidR="004B6B70">
        <w:t>y</w:t>
      </w:r>
      <w:r w:rsidR="00594E96">
        <w:t xml:space="preserve"> indikátorů byl</w:t>
      </w:r>
      <w:r w:rsidR="00E85E12">
        <w:t>o</w:t>
      </w:r>
      <w:r w:rsidR="00594E96">
        <w:t xml:space="preserve"> </w:t>
      </w:r>
      <w:r w:rsidR="004B6B70">
        <w:t xml:space="preserve">v Akčním plánu na léta </w:t>
      </w:r>
      <w:proofErr w:type="gramStart"/>
      <w:r w:rsidR="004B6B70">
        <w:t>2021 - 2023</w:t>
      </w:r>
      <w:proofErr w:type="gramEnd"/>
      <w:r w:rsidR="004B6B70">
        <w:t xml:space="preserve"> ke Koncepci Klientsky orientovaná veřejná správa 2030 </w:t>
      </w:r>
      <w:r w:rsidR="00E85E12">
        <w:t>zahájeno plnění</w:t>
      </w:r>
      <w:r w:rsidR="00C73512">
        <w:t xml:space="preserve"> (celkem </w:t>
      </w:r>
      <w:r w:rsidR="00C25823">
        <w:t>57 %)</w:t>
      </w:r>
      <w:r w:rsidR="00E85E12">
        <w:t xml:space="preserve">, případně byly v průběhu realizace předmětného akčního plánu splněny (celkem </w:t>
      </w:r>
      <w:r w:rsidR="00511E4F">
        <w:t>18</w:t>
      </w:r>
      <w:r w:rsidR="00C73512">
        <w:t xml:space="preserve"> %)</w:t>
      </w:r>
      <w:r w:rsidR="007F6F26">
        <w:t xml:space="preserve">. Naplňování zbývajících indikátorů zahájeno nebylo s ohledem na </w:t>
      </w:r>
      <w:r w:rsidR="004B6B70">
        <w:t xml:space="preserve">nerealizaci některých aktivity </w:t>
      </w:r>
      <w:r w:rsidR="007F6F26">
        <w:t xml:space="preserve">a s </w:t>
      </w:r>
      <w:r w:rsidR="004B6B70">
        <w:t xml:space="preserve">ohledem na </w:t>
      </w:r>
      <w:r w:rsidR="00616E4A">
        <w:t xml:space="preserve">časový rámec </w:t>
      </w:r>
      <w:r w:rsidR="007F6F26">
        <w:t xml:space="preserve">plnění </w:t>
      </w:r>
      <w:r w:rsidR="006A01A6">
        <w:t xml:space="preserve">celé </w:t>
      </w:r>
      <w:r w:rsidR="00616E4A">
        <w:t>koncepce</w:t>
      </w:r>
      <w:r w:rsidR="007F6F26">
        <w:t xml:space="preserve">, kdy realizace některých aktivit bude zahájena </w:t>
      </w:r>
      <w:r w:rsidR="0061715C">
        <w:t>po ukončení plnění akčního plánu na léta 2021-2023</w:t>
      </w:r>
      <w:r w:rsidR="00616E4A">
        <w:t>.</w:t>
      </w:r>
    </w:p>
    <w:p w14:paraId="266F2492" w14:textId="77777777" w:rsidR="00C12738" w:rsidRDefault="00C12738">
      <w:r>
        <w:br w:type="page"/>
      </w:r>
    </w:p>
    <w:p w14:paraId="68E04814" w14:textId="13B88014" w:rsidR="005A1D41" w:rsidRDefault="005A1D41" w:rsidP="006A01A6">
      <w:pPr>
        <w:spacing w:line="240" w:lineRule="auto"/>
      </w:pPr>
      <w:proofErr w:type="gramStart"/>
      <w:r w:rsidRPr="005A1D41">
        <w:rPr>
          <w:b/>
          <w:bCs/>
        </w:rPr>
        <w:lastRenderedPageBreak/>
        <w:t>Přílohy</w:t>
      </w:r>
      <w:r w:rsidR="006A01A6">
        <w:rPr>
          <w:b/>
          <w:bCs/>
        </w:rPr>
        <w:t xml:space="preserve"> </w:t>
      </w:r>
      <w:r w:rsidR="006A01A6" w:rsidRPr="006A01A6">
        <w:t xml:space="preserve">- </w:t>
      </w:r>
      <w:r w:rsidR="0068501B" w:rsidRPr="00C4525C">
        <w:rPr>
          <w:rFonts w:cs="Arial"/>
          <w:bCs/>
        </w:rPr>
        <w:t>Vyhodnocení</w:t>
      </w:r>
      <w:proofErr w:type="gramEnd"/>
      <w:r w:rsidR="0068501B" w:rsidRPr="00C4525C">
        <w:rPr>
          <w:rFonts w:cs="Arial"/>
          <w:bCs/>
        </w:rPr>
        <w:t xml:space="preserve"> plnění akčního plánu na léta 2021</w:t>
      </w:r>
      <w:r w:rsidR="00993037">
        <w:rPr>
          <w:rFonts w:cs="Arial"/>
          <w:bCs/>
        </w:rPr>
        <w:t>–</w:t>
      </w:r>
      <w:r w:rsidR="0068501B" w:rsidRPr="00C4525C">
        <w:rPr>
          <w:rFonts w:cs="Arial"/>
          <w:bCs/>
        </w:rPr>
        <w:t>2023 ke koncepci Klientsky orientovaná veřejná správa 2030</w:t>
      </w:r>
      <w:r w:rsidR="0068501B">
        <w:rPr>
          <w:rFonts w:cs="Arial"/>
          <w:bCs/>
        </w:rPr>
        <w:t xml:space="preserve"> po jednotlivých specifických cílech, opatřeních a aktivitách</w:t>
      </w:r>
    </w:p>
    <w:sectPr w:rsidR="005A1D41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8C7B" w14:textId="77777777" w:rsidR="007D508D" w:rsidRDefault="007D508D" w:rsidP="006D73A8">
      <w:pPr>
        <w:spacing w:after="0" w:line="240" w:lineRule="auto"/>
      </w:pPr>
      <w:r>
        <w:separator/>
      </w:r>
    </w:p>
  </w:endnote>
  <w:endnote w:type="continuationSeparator" w:id="0">
    <w:p w14:paraId="60CA334F" w14:textId="77777777" w:rsidR="007D508D" w:rsidRDefault="007D508D" w:rsidP="006D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931072"/>
      <w:docPartObj>
        <w:docPartGallery w:val="Page Numbers (Bottom of Page)"/>
        <w:docPartUnique/>
      </w:docPartObj>
    </w:sdtPr>
    <w:sdtEndPr/>
    <w:sdtContent>
      <w:p w14:paraId="209021AB" w14:textId="7AB1703F" w:rsidR="00D64EFE" w:rsidRDefault="00D64EFE" w:rsidP="00E640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D32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2775" w14:textId="77777777" w:rsidR="007D508D" w:rsidRDefault="007D508D" w:rsidP="006D73A8">
      <w:pPr>
        <w:spacing w:after="0" w:line="240" w:lineRule="auto"/>
      </w:pPr>
      <w:r>
        <w:separator/>
      </w:r>
    </w:p>
  </w:footnote>
  <w:footnote w:type="continuationSeparator" w:id="0">
    <w:p w14:paraId="757ED2D7" w14:textId="77777777" w:rsidR="007D508D" w:rsidRDefault="007D508D" w:rsidP="006D73A8">
      <w:pPr>
        <w:spacing w:after="0" w:line="240" w:lineRule="auto"/>
      </w:pPr>
      <w:r>
        <w:continuationSeparator/>
      </w:r>
    </w:p>
  </w:footnote>
  <w:footnote w:id="1">
    <w:p w14:paraId="2554383C" w14:textId="15F4B23F" w:rsidR="00EC7BD4" w:rsidRDefault="00EC7BD4" w:rsidP="00EC7BD4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t>[1]</w:t>
      </w:r>
      <w:r>
        <w:rPr>
          <w:sz w:val="18"/>
          <w:szCs w:val="18"/>
        </w:rPr>
        <w:t xml:space="preserve"> </w:t>
      </w:r>
      <w:r w:rsidR="00D31BD1">
        <w:rPr>
          <w:sz w:val="18"/>
          <w:szCs w:val="18"/>
        </w:rPr>
        <w:t xml:space="preserve">Koncepce </w:t>
      </w:r>
      <w:r>
        <w:rPr>
          <w:sz w:val="18"/>
          <w:szCs w:val="18"/>
        </w:rPr>
        <w:t xml:space="preserve">KOVES i AP, jako jedna z příloh, jsou ke stažení zde: </w:t>
      </w:r>
      <w:hyperlink r:id="rId1" w:history="1">
        <w:r>
          <w:rPr>
            <w:rStyle w:val="Hypertextovodkaz"/>
            <w:sz w:val="18"/>
            <w:szCs w:val="18"/>
          </w:rPr>
          <w:t>https://www.mvcr.cz/clanek/koncepce-klientsky-orientovana-verejna-sprava-2030.aspx</w:t>
        </w:r>
      </w:hyperlink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B98"/>
    <w:multiLevelType w:val="hybridMultilevel"/>
    <w:tmpl w:val="146A8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C5438"/>
    <w:multiLevelType w:val="hybridMultilevel"/>
    <w:tmpl w:val="55C25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31AD2"/>
    <w:multiLevelType w:val="multilevel"/>
    <w:tmpl w:val="39749600"/>
    <w:lvl w:ilvl="0">
      <w:start w:val="1"/>
      <w:numFmt w:val="lowerLetter"/>
      <w:pStyle w:val="Pipomnky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388"/>
    <w:multiLevelType w:val="hybridMultilevel"/>
    <w:tmpl w:val="00C6FE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560EB"/>
    <w:multiLevelType w:val="hybridMultilevel"/>
    <w:tmpl w:val="90EE77B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825A5"/>
    <w:multiLevelType w:val="hybridMultilevel"/>
    <w:tmpl w:val="C78E15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74C38"/>
    <w:multiLevelType w:val="hybridMultilevel"/>
    <w:tmpl w:val="8B4C5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08D2"/>
    <w:multiLevelType w:val="hybridMultilevel"/>
    <w:tmpl w:val="13062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20F85"/>
    <w:multiLevelType w:val="hybridMultilevel"/>
    <w:tmpl w:val="9AAC510E"/>
    <w:lvl w:ilvl="0" w:tplc="6F78B53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102D8"/>
    <w:multiLevelType w:val="hybridMultilevel"/>
    <w:tmpl w:val="B65C9786"/>
    <w:lvl w:ilvl="0" w:tplc="E668E6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956545"/>
    <w:multiLevelType w:val="hybridMultilevel"/>
    <w:tmpl w:val="A582F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319AF"/>
    <w:multiLevelType w:val="multilevel"/>
    <w:tmpl w:val="86B07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235F3D"/>
    <w:multiLevelType w:val="hybridMultilevel"/>
    <w:tmpl w:val="E3EEA6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80E60"/>
    <w:multiLevelType w:val="hybridMultilevel"/>
    <w:tmpl w:val="61BAB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5697"/>
    <w:multiLevelType w:val="hybridMultilevel"/>
    <w:tmpl w:val="8B6A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110C4B"/>
    <w:multiLevelType w:val="hybridMultilevel"/>
    <w:tmpl w:val="A3DCA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F3F42"/>
    <w:multiLevelType w:val="hybridMultilevel"/>
    <w:tmpl w:val="1EB45B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FF1D3B"/>
    <w:multiLevelType w:val="hybridMultilevel"/>
    <w:tmpl w:val="200E25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C0193E"/>
    <w:multiLevelType w:val="hybridMultilevel"/>
    <w:tmpl w:val="5FAE248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85F68"/>
    <w:multiLevelType w:val="hybridMultilevel"/>
    <w:tmpl w:val="FB407D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1AAB"/>
    <w:multiLevelType w:val="multilevel"/>
    <w:tmpl w:val="D206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BB6DA8"/>
    <w:multiLevelType w:val="hybridMultilevel"/>
    <w:tmpl w:val="DE40FD4A"/>
    <w:lvl w:ilvl="0" w:tplc="DAF20A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54713"/>
    <w:multiLevelType w:val="multilevel"/>
    <w:tmpl w:val="749AA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22324F"/>
    <w:multiLevelType w:val="hybridMultilevel"/>
    <w:tmpl w:val="E2C08C18"/>
    <w:lvl w:ilvl="0" w:tplc="12FEE1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D2BE7"/>
    <w:multiLevelType w:val="hybridMultilevel"/>
    <w:tmpl w:val="CD4A4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17"/>
  </w:num>
  <w:num w:numId="7">
    <w:abstractNumId w:val="21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3"/>
  </w:num>
  <w:num w:numId="13">
    <w:abstractNumId w:val="23"/>
  </w:num>
  <w:num w:numId="14">
    <w:abstractNumId w:val="22"/>
  </w:num>
  <w:num w:numId="15">
    <w:abstractNumId w:val="24"/>
  </w:num>
  <w:num w:numId="16">
    <w:abstractNumId w:val="16"/>
  </w:num>
  <w:num w:numId="17">
    <w:abstractNumId w:val="8"/>
  </w:num>
  <w:num w:numId="18">
    <w:abstractNumId w:val="4"/>
  </w:num>
  <w:num w:numId="19">
    <w:abstractNumId w:val="9"/>
  </w:num>
  <w:num w:numId="20">
    <w:abstractNumId w:val="19"/>
  </w:num>
  <w:num w:numId="21">
    <w:abstractNumId w:val="2"/>
  </w:num>
  <w:num w:numId="22">
    <w:abstractNumId w:val="18"/>
  </w:num>
  <w:num w:numId="23">
    <w:abstractNumId w:val="2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55"/>
    <w:rsid w:val="000102C7"/>
    <w:rsid w:val="000118F8"/>
    <w:rsid w:val="00026B89"/>
    <w:rsid w:val="00027D64"/>
    <w:rsid w:val="0004388C"/>
    <w:rsid w:val="000470F6"/>
    <w:rsid w:val="00057D64"/>
    <w:rsid w:val="000613F4"/>
    <w:rsid w:val="00064DB3"/>
    <w:rsid w:val="000910CF"/>
    <w:rsid w:val="000A4AB6"/>
    <w:rsid w:val="000B00DA"/>
    <w:rsid w:val="000C41FF"/>
    <w:rsid w:val="000C7AA0"/>
    <w:rsid w:val="000D2B59"/>
    <w:rsid w:val="000D2B62"/>
    <w:rsid w:val="000D3408"/>
    <w:rsid w:val="000D5BFC"/>
    <w:rsid w:val="000E05F0"/>
    <w:rsid w:val="000E3B1F"/>
    <w:rsid w:val="000E3E1C"/>
    <w:rsid w:val="000E3F49"/>
    <w:rsid w:val="000E66E1"/>
    <w:rsid w:val="000F07EE"/>
    <w:rsid w:val="000F0D95"/>
    <w:rsid w:val="000F46E6"/>
    <w:rsid w:val="000F511F"/>
    <w:rsid w:val="000F66EC"/>
    <w:rsid w:val="000F713E"/>
    <w:rsid w:val="001017B5"/>
    <w:rsid w:val="0010276A"/>
    <w:rsid w:val="0013378C"/>
    <w:rsid w:val="00141479"/>
    <w:rsid w:val="001476CD"/>
    <w:rsid w:val="00156904"/>
    <w:rsid w:val="00170B2B"/>
    <w:rsid w:val="00174809"/>
    <w:rsid w:val="00177BE8"/>
    <w:rsid w:val="00183441"/>
    <w:rsid w:val="00184283"/>
    <w:rsid w:val="001919E1"/>
    <w:rsid w:val="001941F7"/>
    <w:rsid w:val="001A0A6E"/>
    <w:rsid w:val="001B0404"/>
    <w:rsid w:val="001B480D"/>
    <w:rsid w:val="001C6369"/>
    <w:rsid w:val="001D06A6"/>
    <w:rsid w:val="001E5875"/>
    <w:rsid w:val="001F2143"/>
    <w:rsid w:val="001F28F5"/>
    <w:rsid w:val="001F4ABE"/>
    <w:rsid w:val="001F5DAA"/>
    <w:rsid w:val="001F5E76"/>
    <w:rsid w:val="00200029"/>
    <w:rsid w:val="00213453"/>
    <w:rsid w:val="00220802"/>
    <w:rsid w:val="00221384"/>
    <w:rsid w:val="00230B82"/>
    <w:rsid w:val="00232183"/>
    <w:rsid w:val="002332A5"/>
    <w:rsid w:val="00233D4E"/>
    <w:rsid w:val="002401FA"/>
    <w:rsid w:val="00243BA3"/>
    <w:rsid w:val="00244692"/>
    <w:rsid w:val="00251D32"/>
    <w:rsid w:val="00251D67"/>
    <w:rsid w:val="00254666"/>
    <w:rsid w:val="00254D67"/>
    <w:rsid w:val="00254FF9"/>
    <w:rsid w:val="00260810"/>
    <w:rsid w:val="00262B98"/>
    <w:rsid w:val="00281BB2"/>
    <w:rsid w:val="00284CCE"/>
    <w:rsid w:val="00293E68"/>
    <w:rsid w:val="00294B77"/>
    <w:rsid w:val="00296B62"/>
    <w:rsid w:val="00296C36"/>
    <w:rsid w:val="002A61B1"/>
    <w:rsid w:val="002A7EDC"/>
    <w:rsid w:val="002B49D8"/>
    <w:rsid w:val="002B7EDD"/>
    <w:rsid w:val="002C7066"/>
    <w:rsid w:val="002D2788"/>
    <w:rsid w:val="002D3D7B"/>
    <w:rsid w:val="002D46B0"/>
    <w:rsid w:val="002E11B1"/>
    <w:rsid w:val="002E2A9C"/>
    <w:rsid w:val="002E3949"/>
    <w:rsid w:val="002E4A06"/>
    <w:rsid w:val="002E4F44"/>
    <w:rsid w:val="002F1A98"/>
    <w:rsid w:val="0030033A"/>
    <w:rsid w:val="0030501A"/>
    <w:rsid w:val="00305F66"/>
    <w:rsid w:val="00306525"/>
    <w:rsid w:val="00312812"/>
    <w:rsid w:val="003156DF"/>
    <w:rsid w:val="0032144D"/>
    <w:rsid w:val="00321978"/>
    <w:rsid w:val="00333C50"/>
    <w:rsid w:val="003352D6"/>
    <w:rsid w:val="003459C3"/>
    <w:rsid w:val="0035389C"/>
    <w:rsid w:val="00356C37"/>
    <w:rsid w:val="00357164"/>
    <w:rsid w:val="003672D7"/>
    <w:rsid w:val="0037061F"/>
    <w:rsid w:val="0037368E"/>
    <w:rsid w:val="00380791"/>
    <w:rsid w:val="0039228C"/>
    <w:rsid w:val="00394749"/>
    <w:rsid w:val="00395E78"/>
    <w:rsid w:val="003A4B5B"/>
    <w:rsid w:val="003A6038"/>
    <w:rsid w:val="003A7FEC"/>
    <w:rsid w:val="003B3C27"/>
    <w:rsid w:val="003B51CA"/>
    <w:rsid w:val="003D637F"/>
    <w:rsid w:val="003D7B19"/>
    <w:rsid w:val="003E181D"/>
    <w:rsid w:val="003E2D72"/>
    <w:rsid w:val="003E3E36"/>
    <w:rsid w:val="003E5227"/>
    <w:rsid w:val="003E5F67"/>
    <w:rsid w:val="003E78A8"/>
    <w:rsid w:val="003F1ACE"/>
    <w:rsid w:val="004000DF"/>
    <w:rsid w:val="00401FE3"/>
    <w:rsid w:val="00402F8D"/>
    <w:rsid w:val="004059E8"/>
    <w:rsid w:val="00417EC6"/>
    <w:rsid w:val="00420CEB"/>
    <w:rsid w:val="00420E0A"/>
    <w:rsid w:val="00422CD9"/>
    <w:rsid w:val="00424AC6"/>
    <w:rsid w:val="0042521F"/>
    <w:rsid w:val="00425308"/>
    <w:rsid w:val="00431820"/>
    <w:rsid w:val="004364C9"/>
    <w:rsid w:val="00436A76"/>
    <w:rsid w:val="00437D1D"/>
    <w:rsid w:val="00453BED"/>
    <w:rsid w:val="0046172D"/>
    <w:rsid w:val="00462E92"/>
    <w:rsid w:val="00464DA2"/>
    <w:rsid w:val="004657C0"/>
    <w:rsid w:val="00466966"/>
    <w:rsid w:val="00472AFD"/>
    <w:rsid w:val="00474391"/>
    <w:rsid w:val="0048098B"/>
    <w:rsid w:val="004870C6"/>
    <w:rsid w:val="004900CC"/>
    <w:rsid w:val="004941FC"/>
    <w:rsid w:val="004A060B"/>
    <w:rsid w:val="004A7B15"/>
    <w:rsid w:val="004B6B70"/>
    <w:rsid w:val="004C4C26"/>
    <w:rsid w:val="004C7203"/>
    <w:rsid w:val="004D0EFB"/>
    <w:rsid w:val="004D11A7"/>
    <w:rsid w:val="004D4193"/>
    <w:rsid w:val="004D79BC"/>
    <w:rsid w:val="004E1528"/>
    <w:rsid w:val="004E155E"/>
    <w:rsid w:val="004E55AD"/>
    <w:rsid w:val="004E591B"/>
    <w:rsid w:val="004E6F28"/>
    <w:rsid w:val="004F612F"/>
    <w:rsid w:val="00507FA9"/>
    <w:rsid w:val="00510DF5"/>
    <w:rsid w:val="00510E89"/>
    <w:rsid w:val="00511E4F"/>
    <w:rsid w:val="00512720"/>
    <w:rsid w:val="00512CB9"/>
    <w:rsid w:val="00517AC4"/>
    <w:rsid w:val="005319B1"/>
    <w:rsid w:val="005410B5"/>
    <w:rsid w:val="00542CE0"/>
    <w:rsid w:val="00542D41"/>
    <w:rsid w:val="00545131"/>
    <w:rsid w:val="00552DB0"/>
    <w:rsid w:val="00557A65"/>
    <w:rsid w:val="0056082D"/>
    <w:rsid w:val="005608E5"/>
    <w:rsid w:val="00564ECB"/>
    <w:rsid w:val="0056641E"/>
    <w:rsid w:val="00566814"/>
    <w:rsid w:val="00583379"/>
    <w:rsid w:val="00594E96"/>
    <w:rsid w:val="005A1A7D"/>
    <w:rsid w:val="005A1B84"/>
    <w:rsid w:val="005A1D41"/>
    <w:rsid w:val="005A475D"/>
    <w:rsid w:val="005A7E25"/>
    <w:rsid w:val="005B1E27"/>
    <w:rsid w:val="005B28D9"/>
    <w:rsid w:val="005B36DB"/>
    <w:rsid w:val="005B4BA9"/>
    <w:rsid w:val="005C16DD"/>
    <w:rsid w:val="005C266D"/>
    <w:rsid w:val="005C2F8D"/>
    <w:rsid w:val="005C3503"/>
    <w:rsid w:val="005C3EEB"/>
    <w:rsid w:val="005C4966"/>
    <w:rsid w:val="005C5833"/>
    <w:rsid w:val="005E20A2"/>
    <w:rsid w:val="005E7A70"/>
    <w:rsid w:val="005F1C80"/>
    <w:rsid w:val="005F33E7"/>
    <w:rsid w:val="00600EC1"/>
    <w:rsid w:val="00604E32"/>
    <w:rsid w:val="00610A1F"/>
    <w:rsid w:val="00612B2A"/>
    <w:rsid w:val="00616E4A"/>
    <w:rsid w:val="0061715C"/>
    <w:rsid w:val="00622164"/>
    <w:rsid w:val="00622C57"/>
    <w:rsid w:val="0062314E"/>
    <w:rsid w:val="00634100"/>
    <w:rsid w:val="0063592D"/>
    <w:rsid w:val="0063776F"/>
    <w:rsid w:val="0064018F"/>
    <w:rsid w:val="00651101"/>
    <w:rsid w:val="006567CB"/>
    <w:rsid w:val="00657EC4"/>
    <w:rsid w:val="006611DA"/>
    <w:rsid w:val="00664C19"/>
    <w:rsid w:val="006719C1"/>
    <w:rsid w:val="006738B3"/>
    <w:rsid w:val="0068354E"/>
    <w:rsid w:val="0068501B"/>
    <w:rsid w:val="00691612"/>
    <w:rsid w:val="006A01A6"/>
    <w:rsid w:val="006B3A1B"/>
    <w:rsid w:val="006B3F4D"/>
    <w:rsid w:val="006B3FC5"/>
    <w:rsid w:val="006C2F71"/>
    <w:rsid w:val="006C3F2B"/>
    <w:rsid w:val="006D26B8"/>
    <w:rsid w:val="006D73A8"/>
    <w:rsid w:val="006D751E"/>
    <w:rsid w:val="006D7FCB"/>
    <w:rsid w:val="006E6035"/>
    <w:rsid w:val="006F2AA9"/>
    <w:rsid w:val="006F7D21"/>
    <w:rsid w:val="00711C09"/>
    <w:rsid w:val="00712092"/>
    <w:rsid w:val="0073267F"/>
    <w:rsid w:val="00734BA8"/>
    <w:rsid w:val="00736E2B"/>
    <w:rsid w:val="00745B3F"/>
    <w:rsid w:val="00746421"/>
    <w:rsid w:val="0075294F"/>
    <w:rsid w:val="0077012B"/>
    <w:rsid w:val="007772AC"/>
    <w:rsid w:val="0077778D"/>
    <w:rsid w:val="0078380F"/>
    <w:rsid w:val="00795992"/>
    <w:rsid w:val="00795EA3"/>
    <w:rsid w:val="007A16C6"/>
    <w:rsid w:val="007B0FCB"/>
    <w:rsid w:val="007B2AC2"/>
    <w:rsid w:val="007B3779"/>
    <w:rsid w:val="007B6B85"/>
    <w:rsid w:val="007C0ECE"/>
    <w:rsid w:val="007C36CE"/>
    <w:rsid w:val="007C4933"/>
    <w:rsid w:val="007C571C"/>
    <w:rsid w:val="007D1555"/>
    <w:rsid w:val="007D18DB"/>
    <w:rsid w:val="007D508D"/>
    <w:rsid w:val="007D546C"/>
    <w:rsid w:val="007D7432"/>
    <w:rsid w:val="007E187F"/>
    <w:rsid w:val="007F0E3E"/>
    <w:rsid w:val="007F327E"/>
    <w:rsid w:val="007F5E9D"/>
    <w:rsid w:val="007F6995"/>
    <w:rsid w:val="007F6F26"/>
    <w:rsid w:val="00803C27"/>
    <w:rsid w:val="008105CD"/>
    <w:rsid w:val="00815BB3"/>
    <w:rsid w:val="00823D68"/>
    <w:rsid w:val="00826B42"/>
    <w:rsid w:val="008373E9"/>
    <w:rsid w:val="00840F19"/>
    <w:rsid w:val="00843A0B"/>
    <w:rsid w:val="00845D89"/>
    <w:rsid w:val="008477E4"/>
    <w:rsid w:val="008505AA"/>
    <w:rsid w:val="008620D3"/>
    <w:rsid w:val="008627F9"/>
    <w:rsid w:val="00871385"/>
    <w:rsid w:val="00877499"/>
    <w:rsid w:val="00880B29"/>
    <w:rsid w:val="00883FB1"/>
    <w:rsid w:val="0088491C"/>
    <w:rsid w:val="0089467E"/>
    <w:rsid w:val="008976B7"/>
    <w:rsid w:val="008A0F61"/>
    <w:rsid w:val="008A74AC"/>
    <w:rsid w:val="008B7375"/>
    <w:rsid w:val="008B7EDA"/>
    <w:rsid w:val="008C0D07"/>
    <w:rsid w:val="008C1E30"/>
    <w:rsid w:val="008C6F4B"/>
    <w:rsid w:val="008D0BB7"/>
    <w:rsid w:val="008E68A3"/>
    <w:rsid w:val="008E6D58"/>
    <w:rsid w:val="008F2247"/>
    <w:rsid w:val="008F5B20"/>
    <w:rsid w:val="008F7D3C"/>
    <w:rsid w:val="00900295"/>
    <w:rsid w:val="00904F0A"/>
    <w:rsid w:val="00905C3A"/>
    <w:rsid w:val="009171F7"/>
    <w:rsid w:val="00922AF0"/>
    <w:rsid w:val="00922B21"/>
    <w:rsid w:val="00922D29"/>
    <w:rsid w:val="00927A46"/>
    <w:rsid w:val="00934CA0"/>
    <w:rsid w:val="0093643D"/>
    <w:rsid w:val="00960958"/>
    <w:rsid w:val="009719C7"/>
    <w:rsid w:val="00972A41"/>
    <w:rsid w:val="00974B31"/>
    <w:rsid w:val="00984A8E"/>
    <w:rsid w:val="00993037"/>
    <w:rsid w:val="00995A40"/>
    <w:rsid w:val="009A01A9"/>
    <w:rsid w:val="009A1142"/>
    <w:rsid w:val="009B0258"/>
    <w:rsid w:val="009B366C"/>
    <w:rsid w:val="009B7D32"/>
    <w:rsid w:val="009C63C1"/>
    <w:rsid w:val="009D2A51"/>
    <w:rsid w:val="009E7DBB"/>
    <w:rsid w:val="009F6392"/>
    <w:rsid w:val="00A13EE0"/>
    <w:rsid w:val="00A26F97"/>
    <w:rsid w:val="00A315B1"/>
    <w:rsid w:val="00A323C6"/>
    <w:rsid w:val="00A429D4"/>
    <w:rsid w:val="00A463A5"/>
    <w:rsid w:val="00A472D8"/>
    <w:rsid w:val="00A5099F"/>
    <w:rsid w:val="00A510B9"/>
    <w:rsid w:val="00A529EB"/>
    <w:rsid w:val="00A549C5"/>
    <w:rsid w:val="00A5675E"/>
    <w:rsid w:val="00A56916"/>
    <w:rsid w:val="00A6572D"/>
    <w:rsid w:val="00A7281F"/>
    <w:rsid w:val="00A7287E"/>
    <w:rsid w:val="00A814F6"/>
    <w:rsid w:val="00A85B5D"/>
    <w:rsid w:val="00A91833"/>
    <w:rsid w:val="00A942C8"/>
    <w:rsid w:val="00A942D7"/>
    <w:rsid w:val="00A9748D"/>
    <w:rsid w:val="00AA20D6"/>
    <w:rsid w:val="00AA5BDB"/>
    <w:rsid w:val="00AB7B78"/>
    <w:rsid w:val="00AC2D69"/>
    <w:rsid w:val="00AC5602"/>
    <w:rsid w:val="00AD4ECD"/>
    <w:rsid w:val="00AD6ACA"/>
    <w:rsid w:val="00AD74E2"/>
    <w:rsid w:val="00AE3FAC"/>
    <w:rsid w:val="00AF45B7"/>
    <w:rsid w:val="00AF5605"/>
    <w:rsid w:val="00AF5B73"/>
    <w:rsid w:val="00AF6F69"/>
    <w:rsid w:val="00AF7BFF"/>
    <w:rsid w:val="00B00387"/>
    <w:rsid w:val="00B0556F"/>
    <w:rsid w:val="00B06A99"/>
    <w:rsid w:val="00B0717C"/>
    <w:rsid w:val="00B107DA"/>
    <w:rsid w:val="00B20042"/>
    <w:rsid w:val="00B4448B"/>
    <w:rsid w:val="00B45F72"/>
    <w:rsid w:val="00B47B11"/>
    <w:rsid w:val="00B5722B"/>
    <w:rsid w:val="00B66BA4"/>
    <w:rsid w:val="00B71DA3"/>
    <w:rsid w:val="00B75055"/>
    <w:rsid w:val="00B80E90"/>
    <w:rsid w:val="00B84D38"/>
    <w:rsid w:val="00B9007C"/>
    <w:rsid w:val="00B910F9"/>
    <w:rsid w:val="00B937CE"/>
    <w:rsid w:val="00B95253"/>
    <w:rsid w:val="00BB5E7E"/>
    <w:rsid w:val="00BB74AA"/>
    <w:rsid w:val="00BB78C0"/>
    <w:rsid w:val="00BC0C68"/>
    <w:rsid w:val="00BC3B66"/>
    <w:rsid w:val="00BC5851"/>
    <w:rsid w:val="00BD613A"/>
    <w:rsid w:val="00BD647A"/>
    <w:rsid w:val="00BD6EEF"/>
    <w:rsid w:val="00BE1117"/>
    <w:rsid w:val="00BE6041"/>
    <w:rsid w:val="00BE6E3B"/>
    <w:rsid w:val="00BF73AB"/>
    <w:rsid w:val="00C00310"/>
    <w:rsid w:val="00C03665"/>
    <w:rsid w:val="00C12738"/>
    <w:rsid w:val="00C13206"/>
    <w:rsid w:val="00C13EEB"/>
    <w:rsid w:val="00C15955"/>
    <w:rsid w:val="00C16389"/>
    <w:rsid w:val="00C2076A"/>
    <w:rsid w:val="00C22746"/>
    <w:rsid w:val="00C2316E"/>
    <w:rsid w:val="00C25277"/>
    <w:rsid w:val="00C25823"/>
    <w:rsid w:val="00C279D3"/>
    <w:rsid w:val="00C341D8"/>
    <w:rsid w:val="00C37CEB"/>
    <w:rsid w:val="00C54090"/>
    <w:rsid w:val="00C61F62"/>
    <w:rsid w:val="00C62F99"/>
    <w:rsid w:val="00C73512"/>
    <w:rsid w:val="00C752B5"/>
    <w:rsid w:val="00C76F83"/>
    <w:rsid w:val="00C85EAD"/>
    <w:rsid w:val="00C86CBA"/>
    <w:rsid w:val="00C90105"/>
    <w:rsid w:val="00C9394E"/>
    <w:rsid w:val="00CA2576"/>
    <w:rsid w:val="00CA6D40"/>
    <w:rsid w:val="00CB0B8D"/>
    <w:rsid w:val="00CC0DF7"/>
    <w:rsid w:val="00CC41CD"/>
    <w:rsid w:val="00CC5920"/>
    <w:rsid w:val="00CC5E12"/>
    <w:rsid w:val="00CC6FDB"/>
    <w:rsid w:val="00CC738B"/>
    <w:rsid w:val="00CD0CD2"/>
    <w:rsid w:val="00CD34B7"/>
    <w:rsid w:val="00CD59BB"/>
    <w:rsid w:val="00CE0CE9"/>
    <w:rsid w:val="00CF3022"/>
    <w:rsid w:val="00D0225C"/>
    <w:rsid w:val="00D068B5"/>
    <w:rsid w:val="00D06EEF"/>
    <w:rsid w:val="00D11849"/>
    <w:rsid w:val="00D147CC"/>
    <w:rsid w:val="00D15A02"/>
    <w:rsid w:val="00D23DD5"/>
    <w:rsid w:val="00D27E6E"/>
    <w:rsid w:val="00D3078D"/>
    <w:rsid w:val="00D31BD1"/>
    <w:rsid w:val="00D34381"/>
    <w:rsid w:val="00D50251"/>
    <w:rsid w:val="00D50D4C"/>
    <w:rsid w:val="00D51332"/>
    <w:rsid w:val="00D64EFE"/>
    <w:rsid w:val="00D6702A"/>
    <w:rsid w:val="00D71E68"/>
    <w:rsid w:val="00D77226"/>
    <w:rsid w:val="00D80D33"/>
    <w:rsid w:val="00D80F16"/>
    <w:rsid w:val="00D830AA"/>
    <w:rsid w:val="00D85760"/>
    <w:rsid w:val="00D91ED4"/>
    <w:rsid w:val="00D93774"/>
    <w:rsid w:val="00DA0276"/>
    <w:rsid w:val="00DA0CF4"/>
    <w:rsid w:val="00DA5372"/>
    <w:rsid w:val="00DB37EE"/>
    <w:rsid w:val="00DB5772"/>
    <w:rsid w:val="00DB66C9"/>
    <w:rsid w:val="00DB7F4D"/>
    <w:rsid w:val="00DC2C0A"/>
    <w:rsid w:val="00DC33C0"/>
    <w:rsid w:val="00DC4BF4"/>
    <w:rsid w:val="00DD2C1C"/>
    <w:rsid w:val="00DD2CAF"/>
    <w:rsid w:val="00DE18E1"/>
    <w:rsid w:val="00DE3D05"/>
    <w:rsid w:val="00DF0E5C"/>
    <w:rsid w:val="00DF4285"/>
    <w:rsid w:val="00E00A64"/>
    <w:rsid w:val="00E00B29"/>
    <w:rsid w:val="00E021BA"/>
    <w:rsid w:val="00E02337"/>
    <w:rsid w:val="00E02540"/>
    <w:rsid w:val="00E0331A"/>
    <w:rsid w:val="00E034D6"/>
    <w:rsid w:val="00E07298"/>
    <w:rsid w:val="00E116E4"/>
    <w:rsid w:val="00E22F0C"/>
    <w:rsid w:val="00E254BC"/>
    <w:rsid w:val="00E255AE"/>
    <w:rsid w:val="00E26E98"/>
    <w:rsid w:val="00E36B17"/>
    <w:rsid w:val="00E37A65"/>
    <w:rsid w:val="00E40AEE"/>
    <w:rsid w:val="00E51950"/>
    <w:rsid w:val="00E52B1A"/>
    <w:rsid w:val="00E6255B"/>
    <w:rsid w:val="00E63EBA"/>
    <w:rsid w:val="00E64020"/>
    <w:rsid w:val="00E65FC6"/>
    <w:rsid w:val="00E77BAC"/>
    <w:rsid w:val="00E83B13"/>
    <w:rsid w:val="00E84CD0"/>
    <w:rsid w:val="00E85E12"/>
    <w:rsid w:val="00E86466"/>
    <w:rsid w:val="00E86D39"/>
    <w:rsid w:val="00E923E1"/>
    <w:rsid w:val="00EA0C3A"/>
    <w:rsid w:val="00EA0EBC"/>
    <w:rsid w:val="00EA155F"/>
    <w:rsid w:val="00EA3F04"/>
    <w:rsid w:val="00EA42D2"/>
    <w:rsid w:val="00EB2487"/>
    <w:rsid w:val="00EB3307"/>
    <w:rsid w:val="00EB6994"/>
    <w:rsid w:val="00EC3ABC"/>
    <w:rsid w:val="00EC7BD4"/>
    <w:rsid w:val="00ED2783"/>
    <w:rsid w:val="00ED5F3E"/>
    <w:rsid w:val="00ED7857"/>
    <w:rsid w:val="00EE1F2B"/>
    <w:rsid w:val="00EF17A4"/>
    <w:rsid w:val="00F1512A"/>
    <w:rsid w:val="00F23BDE"/>
    <w:rsid w:val="00F41515"/>
    <w:rsid w:val="00F42849"/>
    <w:rsid w:val="00F6217C"/>
    <w:rsid w:val="00F664B5"/>
    <w:rsid w:val="00F720BB"/>
    <w:rsid w:val="00F74918"/>
    <w:rsid w:val="00F7604E"/>
    <w:rsid w:val="00F80CE4"/>
    <w:rsid w:val="00F876CA"/>
    <w:rsid w:val="00F97E19"/>
    <w:rsid w:val="00FB272E"/>
    <w:rsid w:val="00FB6526"/>
    <w:rsid w:val="00FC1E0C"/>
    <w:rsid w:val="00FD14EE"/>
    <w:rsid w:val="00FD273E"/>
    <w:rsid w:val="00FD6FD3"/>
    <w:rsid w:val="00FE0A9F"/>
    <w:rsid w:val="00FE0EC1"/>
    <w:rsid w:val="00FE4758"/>
    <w:rsid w:val="00FE595F"/>
    <w:rsid w:val="00FE6485"/>
    <w:rsid w:val="00FE7A3C"/>
    <w:rsid w:val="00FF339F"/>
    <w:rsid w:val="00FF578A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7E430"/>
  <w15:chartTrackingRefBased/>
  <w15:docId w15:val="{10D53C3D-3F06-4313-AE96-287EAD40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0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0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402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73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73A8"/>
    <w:rPr>
      <w:sz w:val="20"/>
      <w:szCs w:val="20"/>
    </w:rPr>
  </w:style>
  <w:style w:type="character" w:styleId="Znakapoznpodarou">
    <w:name w:val="footnote reference"/>
    <w:aliases w:val="Footnote,Footnote symbol,Char1 Char Char Char Char,Footnote Reference/,EN Footnote Reference,Times 10 Point,Exposant 3 Point,Footnote reference number,note TESI,stylish,SUPERS,number,no...,Footnote Reference Superscript,16 Point"/>
    <w:basedOn w:val="Standardnpsmoodstavce"/>
    <w:link w:val="FootnotesymbolCarZchn"/>
    <w:uiPriority w:val="99"/>
    <w:unhideWhenUsed/>
    <w:qFormat/>
    <w:rsid w:val="006D73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D73A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73A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C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EFE"/>
  </w:style>
  <w:style w:type="paragraph" w:styleId="Zpat">
    <w:name w:val="footer"/>
    <w:basedOn w:val="Normln"/>
    <w:link w:val="ZpatChar"/>
    <w:uiPriority w:val="99"/>
    <w:unhideWhenUsed/>
    <w:rsid w:val="00D6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EFE"/>
  </w:style>
  <w:style w:type="paragraph" w:styleId="Odstavecseseznamem">
    <w:name w:val="List Paragraph"/>
    <w:basedOn w:val="Normln"/>
    <w:uiPriority w:val="34"/>
    <w:qFormat/>
    <w:rsid w:val="009D2A51"/>
    <w:pPr>
      <w:ind w:left="720"/>
      <w:contextualSpacing/>
    </w:pPr>
  </w:style>
  <w:style w:type="paragraph" w:customStyle="1" w:styleId="Pipomnky">
    <w:name w:val="Připomínky"/>
    <w:basedOn w:val="Bezmezer"/>
    <w:link w:val="PipomnkyChar"/>
    <w:qFormat/>
    <w:rsid w:val="00220802"/>
    <w:pPr>
      <w:numPr>
        <w:numId w:val="21"/>
      </w:numPr>
      <w:spacing w:line="276" w:lineRule="auto"/>
      <w:jc w:val="both"/>
    </w:pPr>
    <w:rPr>
      <w:rFonts w:ascii="Verdana" w:eastAsia="Calibri" w:hAnsi="Verdana" w:cs="Arial"/>
      <w:noProof/>
      <w:sz w:val="20"/>
      <w:szCs w:val="16"/>
      <w:lang w:eastAsia="cs-CZ"/>
    </w:rPr>
  </w:style>
  <w:style w:type="character" w:customStyle="1" w:styleId="PipomnkyChar">
    <w:name w:val="Připomínky Char"/>
    <w:basedOn w:val="Standardnpsmoodstavce"/>
    <w:link w:val="Pipomnky"/>
    <w:rsid w:val="00220802"/>
    <w:rPr>
      <w:rFonts w:ascii="Verdana" w:eastAsia="Calibri" w:hAnsi="Verdana" w:cs="Arial"/>
      <w:noProof/>
      <w:sz w:val="20"/>
      <w:szCs w:val="16"/>
      <w:lang w:eastAsia="cs-CZ"/>
    </w:rPr>
  </w:style>
  <w:style w:type="paragraph" w:styleId="Bezmezer">
    <w:name w:val="No Spacing"/>
    <w:uiPriority w:val="1"/>
    <w:qFormat/>
    <w:rsid w:val="0022080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2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208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40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7B6B8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B6B8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B6B8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B6B85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795E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E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5E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E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EA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C0C68"/>
    <w:rPr>
      <w:color w:val="954F72" w:themeColor="followedHyperlink"/>
      <w:u w:val="single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E07298"/>
    <w:pPr>
      <w:spacing w:line="240" w:lineRule="exact"/>
      <w:jc w:val="both"/>
    </w:pPr>
    <w:rPr>
      <w:vertAlign w:val="superscript"/>
    </w:rPr>
  </w:style>
  <w:style w:type="paragraph" w:customStyle="1" w:styleId="Default">
    <w:name w:val="Default"/>
    <w:rsid w:val="008E68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3D637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koncepce-klientsky-orientovana-verejna-sprava-2030.asp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final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final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final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---Evaluace%20KOVES_grafy%20(v.2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final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---Evaluace%20KOVES_grafy%20(v.2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---Evaluace%20KOVES_grafy%20(v.2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---Evaluace%20KOVES_grafy%20(v.2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final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final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v.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v.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---Evaluace%20KOVES_grafy%20(v.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final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final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---Evaluace%20KOVES_grafy%20(v.2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---Evaluace%20KOVES_grafy%20(v.2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-FSH-02.mvcr.cz\HOME\CE\jirmanp\03.%20KOVES\N&#225;vrh%202.%20APL\230110%20Blanka\---Evaluace%20KOVES_grafy%20(final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b="1">
                <a:solidFill>
                  <a:schemeClr val="tx1"/>
                </a:solidFill>
              </a:rPr>
              <a:t>Specifický cíl 1: Zlepšit kvalitu služeb poskytovaných veřejnou správou</a:t>
            </a:r>
          </a:p>
        </c:rich>
      </c:tx>
      <c:layout>
        <c:manualLayout>
          <c:xMode val="edge"/>
          <c:yMode val="edge"/>
          <c:x val="0.13257570985445002"/>
          <c:y val="2.24403894025997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grafy!$A$9:$A$11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grafy!$C$9:$C$11</c:f>
              <c:numCache>
                <c:formatCode>General</c:formatCode>
                <c:ptCount val="3"/>
                <c:pt idx="0">
                  <c:v>16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3-4DF7-A145-D02DB83AAD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8745136"/>
        <c:axId val="2118745968"/>
      </c:barChart>
      <c:catAx>
        <c:axId val="211874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8745968"/>
        <c:crosses val="autoZero"/>
        <c:auto val="1"/>
        <c:lblAlgn val="ctr"/>
        <c:lblOffset val="100"/>
        <c:noMultiLvlLbl val="0"/>
      </c:catAx>
      <c:valAx>
        <c:axId val="2118745968"/>
        <c:scaling>
          <c:orientation val="minMax"/>
          <c:max val="1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874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3.3 Zlepšit uplatnění principů udržitelného rozvoje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3'!$A$21:$A$23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3'!$C$21:$C$23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AD-4CAA-8058-E08F46AB4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2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3.4 Zvýšit význam a kvalitu provádění strategického řízení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3'!$A$27:$A$29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3'!$C$27:$C$29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E8-403C-A2C2-91D8F5A1E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2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3.5 Sjednotit kvalitu prováděných projektových prací ve státní správě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3'!$A$33:$A$35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3'!$C$33:$C$35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1-4BBB-899F-A5A9D0EAC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4.1 Zvýšit znalosti a dovednosti volených zástupců územně samosprávných celků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4'!$A$9:$A$11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4'!$C$9:$C$11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7B-4785-AE41-A470F4AF5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4.2 Zvýšit znalosti a dovednosti úředníků územně samosprávných celků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4'!$A$15:$A$17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4'!$C$15:$C$17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ED-4703-824C-8917661A5A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4.3 Zkvalitnit vzdělávání ve státní správě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4'!$A$22:$A$24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4'!$C$22:$C$24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8-4D27-B074-DC528D34B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5.1 Zlepšit komunikaci veřejné správy směrem k veřejnosti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4'!$A$9:$A$11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4'!$C$9:$C$11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28-4832-9036-037743E8F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5.2 Zvýšit povědomí o možnostech účasti občanů na veřejném dění, tyto možnosti usnadňovat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5'!$A$15:$A$17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5'!$C$15:$C$17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4E-4B7B-A0DE-5370A97F9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tx1"/>
                </a:solidFill>
              </a:rPr>
              <a:t>Plnění jednotlivých aktivit po SC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grafy!$S$4</c:f>
              <c:strCache>
                <c:ptCount val="1"/>
                <c:pt idx="0">
                  <c:v>Splněno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grafy!$R$5:$R$9</c:f>
              <c:strCache>
                <c:ptCount val="5"/>
                <c:pt idx="0">
                  <c:v>SC1</c:v>
                </c:pt>
                <c:pt idx="1">
                  <c:v>SC2</c:v>
                </c:pt>
                <c:pt idx="2">
                  <c:v>SC3</c:v>
                </c:pt>
                <c:pt idx="3">
                  <c:v>SC4</c:v>
                </c:pt>
                <c:pt idx="4">
                  <c:v>SC5</c:v>
                </c:pt>
              </c:strCache>
            </c:strRef>
          </c:cat>
          <c:val>
            <c:numRef>
              <c:f>grafy!$S$5:$S$9</c:f>
              <c:numCache>
                <c:formatCode>General</c:formatCode>
                <c:ptCount val="5"/>
                <c:pt idx="0">
                  <c:v>16</c:v>
                </c:pt>
                <c:pt idx="1">
                  <c:v>12</c:v>
                </c:pt>
                <c:pt idx="2">
                  <c:v>23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20-443C-959B-0A9C9CC0418E}"/>
            </c:ext>
          </c:extLst>
        </c:ser>
        <c:ser>
          <c:idx val="1"/>
          <c:order val="1"/>
          <c:tx>
            <c:strRef>
              <c:f>grafy!$T$4</c:f>
              <c:strCache>
                <c:ptCount val="1"/>
                <c:pt idx="0">
                  <c:v>Plněno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grafy!$R$5:$R$9</c:f>
              <c:strCache>
                <c:ptCount val="5"/>
                <c:pt idx="0">
                  <c:v>SC1</c:v>
                </c:pt>
                <c:pt idx="1">
                  <c:v>SC2</c:v>
                </c:pt>
                <c:pt idx="2">
                  <c:v>SC3</c:v>
                </c:pt>
                <c:pt idx="3">
                  <c:v>SC4</c:v>
                </c:pt>
                <c:pt idx="4">
                  <c:v>SC5</c:v>
                </c:pt>
              </c:strCache>
            </c:strRef>
          </c:cat>
          <c:val>
            <c:numRef>
              <c:f>grafy!$T$5:$T$9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19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20-443C-959B-0A9C9CC0418E}"/>
            </c:ext>
          </c:extLst>
        </c:ser>
        <c:ser>
          <c:idx val="2"/>
          <c:order val="2"/>
          <c:tx>
            <c:strRef>
              <c:f>grafy!$U$4</c:f>
              <c:strCache>
                <c:ptCount val="1"/>
                <c:pt idx="0">
                  <c:v>Neplněno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grafy!$R$5:$R$9</c:f>
              <c:strCache>
                <c:ptCount val="5"/>
                <c:pt idx="0">
                  <c:v>SC1</c:v>
                </c:pt>
                <c:pt idx="1">
                  <c:v>SC2</c:v>
                </c:pt>
                <c:pt idx="2">
                  <c:v>SC3</c:v>
                </c:pt>
                <c:pt idx="3">
                  <c:v>SC4</c:v>
                </c:pt>
                <c:pt idx="4">
                  <c:v>SC5</c:v>
                </c:pt>
              </c:strCache>
            </c:strRef>
          </c:cat>
          <c:val>
            <c:numRef>
              <c:f>grafy!$U$5:$U$9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11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20-443C-959B-0A9C9CC04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2323392"/>
        <c:axId val="2042324640"/>
      </c:barChart>
      <c:catAx>
        <c:axId val="204232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42324640"/>
        <c:crosses val="autoZero"/>
        <c:auto val="1"/>
        <c:lblAlgn val="ctr"/>
        <c:lblOffset val="100"/>
        <c:noMultiLvlLbl val="0"/>
      </c:catAx>
      <c:valAx>
        <c:axId val="2042324640"/>
        <c:scaling>
          <c:orientation val="minMax"/>
          <c:max val="23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4232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2: Zajistit optimální dostupnost služeb  </a:t>
            </a:r>
            <a:endParaRPr lang="cs-CZ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grafy!$A$8:$A$10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grafy!$C$8:$C$10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CE-4A80-BFD9-2497306AD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6389984"/>
        <c:axId val="216387072"/>
      </c:barChart>
      <c:catAx>
        <c:axId val="2163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6387072"/>
        <c:crosses val="autoZero"/>
        <c:auto val="1"/>
        <c:lblAlgn val="ctr"/>
        <c:lblOffset val="100"/>
        <c:noMultiLvlLbl val="0"/>
      </c:catAx>
      <c:valAx>
        <c:axId val="216387072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638998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b="1">
                <a:solidFill>
                  <a:schemeClr val="tx1"/>
                </a:solidFill>
              </a:rPr>
              <a:t>Specifický cíl: 2.1 Posílit řídící a koordinační mechanismy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2'!$A$9:$A$11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2'!$C$9:$C$11</c:f>
              <c:numCache>
                <c:formatCode>General</c:formatCode>
                <c:ptCount val="3"/>
                <c:pt idx="0">
                  <c:v>5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AB-4D96-A535-7481936311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b="1">
                <a:solidFill>
                  <a:schemeClr val="tx1"/>
                </a:solidFill>
              </a:rPr>
              <a:t>Specifický cíl 2.2 Zefektivnit kontrolní mechanismy v oblasti nakládání s veřejnými prostředky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2'!$A$15:$A$17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2'!$C$15:$C$17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0C-4870-9F32-ABDC0AD13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>
                <a:solidFill>
                  <a:schemeClr val="tx1"/>
                </a:solidFill>
              </a:rPr>
              <a:t>Specifický cíl 2.3 Zlepšit právní prostředí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2'!$A$21:$A$23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2'!$C$21:$C$23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88-4A36-A7DF-AC49E787C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>
                <a:solidFill>
                  <a:schemeClr val="tx1"/>
                </a:solidFill>
              </a:rPr>
              <a:t>Specifický cíl 2.4 Zefektivnit spolupráci obcí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2'!$A$27:$A$29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2'!$C$27:$C$29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5A-4BE1-AAA3-B02C0C7588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>
                <a:solidFill>
                  <a:schemeClr val="tx1"/>
                </a:solidFill>
              </a:rPr>
              <a:t>Specifický cíl 2.5 Vytvořit prostředí podporující inovace a rozvíjet AI a automatizaci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2'!$A$33:$A$35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2'!$C$33:$C$35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98-4813-BE53-28614B430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3.1 Rozšířit rozhodování </a:t>
            </a:r>
            <a:br>
              <a:rPr lang="cs-CZ" sz="1400" b="1" i="0" u="none" strike="noStrike" baseline="0">
                <a:solidFill>
                  <a:schemeClr val="tx1"/>
                </a:solidFill>
                <a:effectLst/>
              </a:rPr>
            </a:b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a plánování na principu evidence-informed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3'!$A$9:$A$11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3'!$C$9:$C$11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4-440E-B735-39A3D459F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1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solidFill>
                  <a:schemeClr val="tx1"/>
                </a:solidFill>
                <a:effectLst/>
              </a:rPr>
              <a:t>Specifický cíl 3.2 Rozšířit aplikaci trvale udržovaných přístupů k řízení kvality</a:t>
            </a:r>
            <a:endParaRPr lang="cs-CZ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'Strategický cíl 3'!$A$15:$A$17</c:f>
              <c:strCache>
                <c:ptCount val="3"/>
                <c:pt idx="0">
                  <c:v>Splněno</c:v>
                </c:pt>
                <c:pt idx="1">
                  <c:v>Plněno</c:v>
                </c:pt>
                <c:pt idx="2">
                  <c:v>Neplněno</c:v>
                </c:pt>
              </c:strCache>
            </c:strRef>
          </c:cat>
          <c:val>
            <c:numRef>
              <c:f>'Strategický cíl 3'!$C$15:$C$17</c:f>
              <c:numCache>
                <c:formatCode>General</c:formatCode>
                <c:ptCount val="3"/>
                <c:pt idx="0">
                  <c:v>12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BC5-A998-01793EAD0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736192"/>
        <c:axId val="233729536"/>
      </c:barChart>
      <c:catAx>
        <c:axId val="233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29536"/>
        <c:crosses val="autoZero"/>
        <c:auto val="1"/>
        <c:lblAlgn val="ctr"/>
        <c:lblOffset val="100"/>
        <c:noMultiLvlLbl val="0"/>
      </c:catAx>
      <c:valAx>
        <c:axId val="233729536"/>
        <c:scaling>
          <c:orientation val="minMax"/>
          <c:max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736192"/>
        <c:crosses val="autoZero"/>
        <c:crossBetween val="between"/>
        <c:majorUnit val="2"/>
        <c:minorUnit val="0.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6EBA-CC02-4468-9B47-A84ACCE9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18</Pages>
  <Words>4163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28669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Schlesinger Petr, Mgr.et Mgr.</dc:creator>
  <cp:keywords/>
  <dc:description/>
  <cp:lastModifiedBy>Adámek Vít, Mgr.</cp:lastModifiedBy>
  <cp:revision>12</cp:revision>
  <cp:lastPrinted>2024-01-05T12:41:00Z</cp:lastPrinted>
  <dcterms:created xsi:type="dcterms:W3CDTF">2024-01-17T15:30:00Z</dcterms:created>
  <dcterms:modified xsi:type="dcterms:W3CDTF">2024-03-25T06:47:00Z</dcterms:modified>
</cp:coreProperties>
</file>