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20ECDFF" w14:textId="2D52B259" w:rsidR="009241B5" w:rsidRDefault="004A4457" w:rsidP="00D60E85">
      <w:pPr>
        <w:jc w:val="center"/>
        <w:rPr>
          <w:b/>
          <w:bCs/>
          <w:sz w:val="36"/>
        </w:rPr>
      </w:pPr>
      <w:r w:rsidRPr="004A4457">
        <w:rPr>
          <w:b/>
          <w:bCs/>
          <w:noProof/>
          <w:sz w:val="36"/>
        </w:rPr>
        <mc:AlternateContent>
          <mc:Choice Requires="wps">
            <w:drawing>
              <wp:anchor distT="45720" distB="45720" distL="114300" distR="114300" simplePos="0" relativeHeight="251678720" behindDoc="0" locked="0" layoutInCell="1" allowOverlap="1" wp14:anchorId="114E4428" wp14:editId="04004DD6">
                <wp:simplePos x="0" y="0"/>
                <wp:positionH relativeFrom="margin">
                  <wp:align>left</wp:align>
                </wp:positionH>
                <wp:positionV relativeFrom="page">
                  <wp:posOffset>745566</wp:posOffset>
                </wp:positionV>
                <wp:extent cx="5793105" cy="2201545"/>
                <wp:effectExtent l="0" t="0" r="17145" b="2730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2201876"/>
                        </a:xfrm>
                        <a:prstGeom prst="rect">
                          <a:avLst/>
                        </a:prstGeom>
                        <a:solidFill>
                          <a:srgbClr val="006600"/>
                        </a:solidFill>
                        <a:ln w="9525">
                          <a:solidFill>
                            <a:srgbClr val="000000"/>
                          </a:solidFill>
                          <a:miter lim="800000"/>
                          <a:headEnd/>
                          <a:tailEnd/>
                        </a:ln>
                      </wps:spPr>
                      <wps:txbx>
                        <w:txbxContent>
                          <w:p w14:paraId="3374F3F8" w14:textId="5F29B46C" w:rsidR="004A4457" w:rsidRPr="00466D85" w:rsidRDefault="004A4457" w:rsidP="004A4457">
                            <w:pPr>
                              <w:jc w:val="center"/>
                              <w:rPr>
                                <w:rFonts w:asciiTheme="minorHAnsi" w:hAnsiTheme="minorHAnsi" w:cstheme="minorHAnsi"/>
                                <w:color w:val="FFFFFF" w:themeColor="background1"/>
                                <w:sz w:val="52"/>
                                <w:szCs w:val="56"/>
                              </w:rPr>
                            </w:pPr>
                            <w:r w:rsidRPr="00466D85">
                              <w:rPr>
                                <w:rFonts w:asciiTheme="minorHAnsi" w:hAnsiTheme="minorHAnsi" w:cstheme="minorHAnsi"/>
                                <w:color w:val="FFFFFF" w:themeColor="background1"/>
                                <w:sz w:val="52"/>
                                <w:szCs w:val="56"/>
                              </w:rPr>
                              <w:t>2. AKTUALIZACE NÁRODNÍHO AKČNÍHO PLÁNU ČISTÉ MOBILITY (NAP CM)</w:t>
                            </w:r>
                          </w:p>
                          <w:p w14:paraId="5DFB69A0" w14:textId="11100987" w:rsidR="004A4457" w:rsidRPr="00466D85" w:rsidRDefault="004A4457">
                            <w:pPr>
                              <w:rPr>
                                <w:rFonts w:asciiTheme="minorHAnsi" w:hAnsiTheme="minorHAnsi" w:cstheme="minorHAnsi"/>
                                <w:color w:val="FFFFFF" w:themeColor="background1"/>
                                <w:sz w:val="52"/>
                                <w:szCs w:val="56"/>
                              </w:rPr>
                            </w:pPr>
                          </w:p>
                          <w:p w14:paraId="2F4A30D3" w14:textId="5FF6FCD5" w:rsidR="004A4457" w:rsidRPr="00466D85" w:rsidRDefault="004A4457" w:rsidP="004A4457">
                            <w:pPr>
                              <w:jc w:val="center"/>
                              <w:rPr>
                                <w:rFonts w:asciiTheme="minorHAnsi" w:hAnsiTheme="minorHAnsi" w:cstheme="minorHAnsi"/>
                                <w:color w:val="FFFFFF" w:themeColor="background1"/>
                                <w:sz w:val="52"/>
                                <w:szCs w:val="56"/>
                              </w:rPr>
                            </w:pPr>
                            <w:r w:rsidRPr="00466D85">
                              <w:rPr>
                                <w:rFonts w:asciiTheme="minorHAnsi" w:hAnsiTheme="minorHAnsi" w:cstheme="minorHAnsi"/>
                                <w:color w:val="FFFFFF" w:themeColor="background1"/>
                                <w:sz w:val="52"/>
                                <w:szCs w:val="56"/>
                              </w:rPr>
                              <w:t>ANALYTICKÁ PŘÍLOHA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E4428" id="_x0000_t202" coordsize="21600,21600" o:spt="202" path="m,l,21600r21600,l21600,xe">
                <v:stroke joinstyle="miter"/>
                <v:path gradientshapeok="t" o:connecttype="rect"/>
              </v:shapetype>
              <v:shape id="Textové pole 2" o:spid="_x0000_s1026" type="#_x0000_t202" style="position:absolute;left:0;text-align:left;margin-left:0;margin-top:58.7pt;width:456.15pt;height:173.3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i5NAIAAEwEAAAOAAAAZHJzL2Uyb0RvYy54bWysVNuO0zAQfUfiHyy/06Sh16jpaumyCGm5&#10;SLt8gOM4jYXjMbbbpPzRfgc/xtjJli5IPCD6YHky4zMzZ850c9W3ihyFdRJ0QaeTlBKhOVRS7wv6&#10;5eH21YoS55mumAItCnoSjl5tX77YdCYXGTSgKmEJgmiXd6agjfcmTxLHG9EyNwEjNDprsC3zaNp9&#10;UlnWIXqrkixNF0kHtjIWuHAOv94MTrqN+HUtuP9U1054ogqKtfl42niW4Uy2G5bvLTON5GMZ7B+q&#10;aJnUmPQMdcM8Iwcr/4BqJbfgoPYTDm0CdS25iD1gN9P0t27uG2ZE7AXJceZMk/t/sPzj8bMlsipo&#10;Nl1SolmLQ3oQvYfjj0diQAmSBZI643KMvTcY7fs30OOwY8PO3AH/6oiGXcP0XlxbC10jWIVFTsPL&#10;5OLpgOMCSNl9gApzsYOHCNTXtg0MIicE0XFYp/OAsB7C8eN8uX49TeeUcPRlyNhquYg5WP703Fjn&#10;3wloSbgU1KICIjw73jkfymH5U0jI5kDJ6lYqFQ27L3fKkiMLakkXizQKBJ88C1OadAVdz7P5wMBf&#10;IFL8jQU+g2ilR9kr2RZ0FWJGIQbe3uoqitIzqYY75ld6JDJwN7Do+7IfB1NCdUJKLQzyxnXESwP2&#10;OyUdSrug7tuBWUGJeq9xLOvpbBZ2IRqz+TJDw156yksP0xyhCuopGa47H/cnEKbhGsdXy0hsmPNQ&#10;yVgrSjbyPa5X2IlLO0b9+hPY/gQAAP//AwBQSwMEFAAGAAgAAAAhAH7g90HeAAAACAEAAA8AAABk&#10;cnMvZG93bnJldi54bWxMj8FOwzAMhu9IvENkJG4s6dYNKE0nVG0SBy4baNoxa0xb0ThVk26Fp8ec&#10;4Gj/vz5/zteT68QZh9B60pDMFAikytuWag3vb9u7BxAhGrKm84QavjDAuri+yk1m/YV2eN7HWjCE&#10;QmY0NDH2mZShatCZMPM9EmcffnAm8jjU0g7mwnDXyblSK+lMS3yhMT2WDVaf+9FpUG7cvLZduV3i&#10;5nuxLOOLKg9HrW9vpucnEBGn+FeGX31Wh4KdTn4kG0THDO7xNrlPQXD8mMwXIE4a0lWagCxy+f+B&#10;4gcAAP//AwBQSwECLQAUAAYACAAAACEAtoM4kv4AAADhAQAAEwAAAAAAAAAAAAAAAAAAAAAAW0Nv&#10;bnRlbnRfVHlwZXNdLnhtbFBLAQItABQABgAIAAAAIQA4/SH/1gAAAJQBAAALAAAAAAAAAAAAAAAA&#10;AC8BAABfcmVscy8ucmVsc1BLAQItABQABgAIAAAAIQAaoGi5NAIAAEwEAAAOAAAAAAAAAAAAAAAA&#10;AC4CAABkcnMvZTJvRG9jLnhtbFBLAQItABQABgAIAAAAIQB+4PdB3gAAAAgBAAAPAAAAAAAAAAAA&#10;AAAAAI4EAABkcnMvZG93bnJldi54bWxQSwUGAAAAAAQABADzAAAAmQUAAAAA&#10;" fillcolor="#060">
                <v:textbox>
                  <w:txbxContent>
                    <w:p w14:paraId="3374F3F8" w14:textId="5F29B46C" w:rsidR="004A4457" w:rsidRPr="00466D85" w:rsidRDefault="004A4457" w:rsidP="004A4457">
                      <w:pPr>
                        <w:jc w:val="center"/>
                        <w:rPr>
                          <w:rFonts w:asciiTheme="minorHAnsi" w:hAnsiTheme="minorHAnsi" w:cstheme="minorHAnsi"/>
                          <w:color w:val="FFFFFF" w:themeColor="background1"/>
                          <w:sz w:val="52"/>
                          <w:szCs w:val="56"/>
                        </w:rPr>
                      </w:pPr>
                      <w:r w:rsidRPr="00466D85">
                        <w:rPr>
                          <w:rFonts w:asciiTheme="minorHAnsi" w:hAnsiTheme="minorHAnsi" w:cstheme="minorHAnsi"/>
                          <w:color w:val="FFFFFF" w:themeColor="background1"/>
                          <w:sz w:val="52"/>
                          <w:szCs w:val="56"/>
                        </w:rPr>
                        <w:t>2. AKTUALIZACE NÁRODNÍHO AKČNÍHO PLÁNU ČISTÉ MOBILITY (NAP CM)</w:t>
                      </w:r>
                    </w:p>
                    <w:p w14:paraId="5DFB69A0" w14:textId="11100987" w:rsidR="004A4457" w:rsidRPr="00466D85" w:rsidRDefault="004A4457">
                      <w:pPr>
                        <w:rPr>
                          <w:rFonts w:asciiTheme="minorHAnsi" w:hAnsiTheme="minorHAnsi" w:cstheme="minorHAnsi"/>
                          <w:color w:val="FFFFFF" w:themeColor="background1"/>
                          <w:sz w:val="52"/>
                          <w:szCs w:val="56"/>
                        </w:rPr>
                      </w:pPr>
                    </w:p>
                    <w:p w14:paraId="2F4A30D3" w14:textId="5FF6FCD5" w:rsidR="004A4457" w:rsidRPr="00466D85" w:rsidRDefault="004A4457" w:rsidP="004A4457">
                      <w:pPr>
                        <w:jc w:val="center"/>
                        <w:rPr>
                          <w:rFonts w:asciiTheme="minorHAnsi" w:hAnsiTheme="minorHAnsi" w:cstheme="minorHAnsi"/>
                          <w:color w:val="FFFFFF" w:themeColor="background1"/>
                          <w:sz w:val="52"/>
                          <w:szCs w:val="56"/>
                        </w:rPr>
                      </w:pPr>
                      <w:r w:rsidRPr="00466D85">
                        <w:rPr>
                          <w:rFonts w:asciiTheme="minorHAnsi" w:hAnsiTheme="minorHAnsi" w:cstheme="minorHAnsi"/>
                          <w:color w:val="FFFFFF" w:themeColor="background1"/>
                          <w:sz w:val="52"/>
                          <w:szCs w:val="56"/>
                        </w:rPr>
                        <w:t>ANALYTICKÁ PŘÍLOHA</w:t>
                      </w:r>
                    </w:p>
                  </w:txbxContent>
                </v:textbox>
                <w10:wrap type="square" anchorx="margin" anchory="page"/>
              </v:shape>
            </w:pict>
          </mc:Fallback>
        </mc:AlternateContent>
      </w:r>
      <w:r>
        <w:rPr>
          <w:noProof/>
        </w:rPr>
        <w:drawing>
          <wp:anchor distT="0" distB="0" distL="114300" distR="114300" simplePos="0" relativeHeight="251670527" behindDoc="1" locked="0" layoutInCell="1" allowOverlap="1" wp14:anchorId="4B43F72C" wp14:editId="33BBE6D5">
            <wp:simplePos x="0" y="0"/>
            <wp:positionH relativeFrom="page">
              <wp:align>left</wp:align>
            </wp:positionH>
            <wp:positionV relativeFrom="page">
              <wp:align>top</wp:align>
            </wp:positionV>
            <wp:extent cx="7562263" cy="10695213"/>
            <wp:effectExtent l="0" t="0" r="635"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2263" cy="10695213"/>
                    </a:xfrm>
                    <a:prstGeom prst="rect">
                      <a:avLst/>
                    </a:prstGeom>
                  </pic:spPr>
                </pic:pic>
              </a:graphicData>
            </a:graphic>
            <wp14:sizeRelH relativeFrom="page">
              <wp14:pctWidth>0</wp14:pctWidth>
            </wp14:sizeRelH>
            <wp14:sizeRelV relativeFrom="page">
              <wp14:pctHeight>0</wp14:pctHeight>
            </wp14:sizeRelV>
          </wp:anchor>
        </w:drawing>
      </w:r>
    </w:p>
    <w:p w14:paraId="7A00CB5E" w14:textId="77777777" w:rsidR="00D051EB" w:rsidRDefault="00D051EB" w:rsidP="00D60E85">
      <w:pPr>
        <w:jc w:val="center"/>
        <w:rPr>
          <w:sz w:val="28"/>
        </w:rPr>
      </w:pPr>
    </w:p>
    <w:p w14:paraId="3D01B289" w14:textId="559D7133" w:rsidR="009241B5" w:rsidRDefault="009241B5">
      <w:pPr>
        <w:pStyle w:val="Podtitul"/>
        <w:tabs>
          <w:tab w:val="left" w:pos="4253"/>
          <w:tab w:val="left" w:pos="5812"/>
        </w:tabs>
        <w:jc w:val="left"/>
      </w:pPr>
      <w:bookmarkStart w:id="0" w:name="_Hlk154756018"/>
      <w:bookmarkEnd w:id="0"/>
    </w:p>
    <w:p w14:paraId="3A676CAC" w14:textId="06A970A2" w:rsidR="00D60E85" w:rsidRPr="000D6A45" w:rsidRDefault="00F17D51" w:rsidP="00750C85">
      <w:pPr>
        <w:pStyle w:val="Podtitul"/>
        <w:tabs>
          <w:tab w:val="left" w:pos="4253"/>
          <w:tab w:val="left" w:pos="5812"/>
        </w:tabs>
        <w:rPr>
          <w:b/>
          <w:bCs/>
          <w:sz w:val="36"/>
          <w:szCs w:val="22"/>
        </w:rPr>
      </w:pPr>
      <w:r>
        <w:rPr>
          <w:b/>
          <w:bCs/>
          <w:sz w:val="36"/>
          <w:szCs w:val="22"/>
        </w:rPr>
        <w:t xml:space="preserve"> </w:t>
      </w:r>
    </w:p>
    <w:p w14:paraId="7B8F67D1" w14:textId="478EAD05" w:rsidR="00D60E85" w:rsidRDefault="00D60E85">
      <w:pPr>
        <w:pStyle w:val="Podtitul"/>
        <w:tabs>
          <w:tab w:val="left" w:pos="4253"/>
          <w:tab w:val="left" w:pos="5812"/>
        </w:tabs>
        <w:jc w:val="left"/>
      </w:pPr>
    </w:p>
    <w:p w14:paraId="47906877" w14:textId="0A047A4C" w:rsidR="00D60E85" w:rsidRDefault="00D60E85">
      <w:pPr>
        <w:pStyle w:val="Podtitul"/>
        <w:tabs>
          <w:tab w:val="left" w:pos="4253"/>
          <w:tab w:val="left" w:pos="5812"/>
        </w:tabs>
        <w:jc w:val="left"/>
      </w:pPr>
    </w:p>
    <w:p w14:paraId="64BEC243" w14:textId="052F72DD" w:rsidR="00D60E85" w:rsidRDefault="00D60E85">
      <w:pPr>
        <w:jc w:val="center"/>
        <w:rPr>
          <w:sz w:val="28"/>
        </w:rPr>
      </w:pPr>
    </w:p>
    <w:p w14:paraId="085638B1" w14:textId="6EC99ED0" w:rsidR="00D60E85" w:rsidRDefault="00D60E85">
      <w:pPr>
        <w:jc w:val="center"/>
        <w:rPr>
          <w:sz w:val="28"/>
        </w:rPr>
      </w:pPr>
    </w:p>
    <w:p w14:paraId="47DE7A76" w14:textId="69829FAC" w:rsidR="00D60E85" w:rsidRPr="00031479" w:rsidRDefault="00FF1A28">
      <w:pPr>
        <w:jc w:val="center"/>
        <w:rPr>
          <w:b/>
          <w:bCs/>
          <w:color w:val="FF0000"/>
          <w:sz w:val="32"/>
          <w:szCs w:val="28"/>
        </w:rPr>
      </w:pPr>
      <w:r>
        <w:rPr>
          <w:b/>
          <w:bCs/>
          <w:color w:val="FF0000"/>
          <w:sz w:val="32"/>
          <w:szCs w:val="28"/>
        </w:rPr>
        <w:t xml:space="preserve"> </w:t>
      </w:r>
    </w:p>
    <w:p w14:paraId="32E40FC5" w14:textId="4D889C3E" w:rsidR="00D60E85" w:rsidRDefault="00D60E85">
      <w:pPr>
        <w:jc w:val="center"/>
        <w:rPr>
          <w:sz w:val="28"/>
        </w:rPr>
      </w:pPr>
    </w:p>
    <w:p w14:paraId="0CDEC221" w14:textId="58CA2A07" w:rsidR="00D60E85" w:rsidRDefault="00D60E85">
      <w:pPr>
        <w:jc w:val="center"/>
        <w:rPr>
          <w:sz w:val="28"/>
        </w:rPr>
      </w:pPr>
    </w:p>
    <w:p w14:paraId="5EBB37AA" w14:textId="4F536EE4" w:rsidR="00D60E85" w:rsidRDefault="00D60E85">
      <w:pPr>
        <w:jc w:val="center"/>
        <w:rPr>
          <w:sz w:val="28"/>
        </w:rPr>
      </w:pPr>
    </w:p>
    <w:p w14:paraId="4ED1FD84" w14:textId="68F77EE0" w:rsidR="00D60E85" w:rsidRDefault="00D60E85">
      <w:pPr>
        <w:jc w:val="center"/>
        <w:rPr>
          <w:sz w:val="28"/>
        </w:rPr>
      </w:pPr>
    </w:p>
    <w:p w14:paraId="79CB53FA" w14:textId="0861A0A6" w:rsidR="00D60E85" w:rsidRDefault="00D60E85">
      <w:pPr>
        <w:jc w:val="center"/>
        <w:rPr>
          <w:sz w:val="28"/>
        </w:rPr>
      </w:pPr>
    </w:p>
    <w:p w14:paraId="245CB97A" w14:textId="14444781" w:rsidR="00D60E85" w:rsidRDefault="00D60E85">
      <w:pPr>
        <w:jc w:val="center"/>
        <w:rPr>
          <w:sz w:val="28"/>
        </w:rPr>
      </w:pPr>
    </w:p>
    <w:p w14:paraId="1A77CC99" w14:textId="00F0CDEC" w:rsidR="00D60E85" w:rsidRDefault="00D60E85">
      <w:pPr>
        <w:jc w:val="center"/>
        <w:rPr>
          <w:sz w:val="28"/>
        </w:rPr>
      </w:pPr>
    </w:p>
    <w:p w14:paraId="31187D06" w14:textId="713BE334" w:rsidR="00D60E85" w:rsidRDefault="00D60E85">
      <w:pPr>
        <w:jc w:val="center"/>
        <w:rPr>
          <w:sz w:val="28"/>
        </w:rPr>
      </w:pPr>
    </w:p>
    <w:p w14:paraId="2188240D" w14:textId="7EDBB866" w:rsidR="00D60E85" w:rsidRDefault="00D60E85">
      <w:pPr>
        <w:jc w:val="center"/>
        <w:rPr>
          <w:sz w:val="28"/>
        </w:rPr>
      </w:pPr>
    </w:p>
    <w:p w14:paraId="06D6F17A" w14:textId="77777777" w:rsidR="00D60E85" w:rsidRDefault="00D60E85">
      <w:pPr>
        <w:jc w:val="center"/>
        <w:rPr>
          <w:sz w:val="28"/>
        </w:rPr>
      </w:pPr>
    </w:p>
    <w:p w14:paraId="3DB98DE3" w14:textId="2E2D2460" w:rsidR="00D60E85" w:rsidRDefault="00D60E85">
      <w:pPr>
        <w:jc w:val="center"/>
        <w:rPr>
          <w:sz w:val="28"/>
        </w:rPr>
      </w:pPr>
    </w:p>
    <w:p w14:paraId="3FCC53FD" w14:textId="77777777" w:rsidR="009241B5" w:rsidRDefault="009241B5" w:rsidP="00ED2ED9">
      <w:pPr>
        <w:pStyle w:val="Obsah1"/>
        <w:sectPr w:rsidR="009241B5" w:rsidSect="00974D63">
          <w:headerReference w:type="default" r:id="rId18"/>
          <w:footerReference w:type="even" r:id="rId19"/>
          <w:footerReference w:type="default" r:id="rId20"/>
          <w:pgSz w:w="11906" w:h="16838"/>
          <w:pgMar w:top="3594" w:right="1417" w:bottom="1417" w:left="1417" w:header="708" w:footer="708" w:gutter="0"/>
          <w:cols w:space="708"/>
          <w:docGrid w:linePitch="360"/>
        </w:sectPr>
      </w:pPr>
    </w:p>
    <w:p w14:paraId="29FC1385" w14:textId="6E2746D4" w:rsidR="00F819FC" w:rsidRDefault="00F819FC">
      <w:pPr>
        <w:pStyle w:val="Obsah1"/>
      </w:pPr>
    </w:p>
    <w:p w14:paraId="6818F1AE" w14:textId="610FB588" w:rsidR="00542F6F" w:rsidRDefault="0074122A">
      <w:pPr>
        <w:pStyle w:val="Obsah1"/>
      </w:pPr>
      <w:r>
        <w:drawing>
          <wp:anchor distT="0" distB="0" distL="114300" distR="114300" simplePos="0" relativeHeight="251676672" behindDoc="0" locked="0" layoutInCell="1" allowOverlap="1" wp14:anchorId="5DC10C22" wp14:editId="26BDDED9">
            <wp:simplePos x="0" y="0"/>
            <wp:positionH relativeFrom="column">
              <wp:posOffset>4911827</wp:posOffset>
            </wp:positionH>
            <wp:positionV relativeFrom="paragraph">
              <wp:posOffset>210490</wp:posOffset>
            </wp:positionV>
            <wp:extent cx="1440000" cy="912799"/>
            <wp:effectExtent l="0" t="0" r="8255" b="0"/>
            <wp:wrapNone/>
            <wp:docPr id="1611893284" name="Obrázek 161189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27341" name="Obrázek 12"/>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12799"/>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74624" behindDoc="0" locked="0" layoutInCell="1" allowOverlap="1" wp14:anchorId="12850C4B" wp14:editId="30D36126">
            <wp:simplePos x="0" y="0"/>
            <wp:positionH relativeFrom="column">
              <wp:posOffset>-694156</wp:posOffset>
            </wp:positionH>
            <wp:positionV relativeFrom="paragraph">
              <wp:posOffset>286512</wp:posOffset>
            </wp:positionV>
            <wp:extent cx="1440000" cy="906353"/>
            <wp:effectExtent l="0" t="0" r="0" b="0"/>
            <wp:wrapNone/>
            <wp:docPr id="881612871" name="Obrázek 88161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6908" name="Obrázek 1"/>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06353"/>
                    </a:xfrm>
                    <a:prstGeom prst="rect">
                      <a:avLst/>
                    </a:prstGeom>
                  </pic:spPr>
                </pic:pic>
              </a:graphicData>
            </a:graphic>
            <wp14:sizeRelH relativeFrom="margin">
              <wp14:pctWidth>0</wp14:pctWidth>
            </wp14:sizeRelH>
            <wp14:sizeRelV relativeFrom="margin">
              <wp14:pctHeight>0</wp14:pctHeight>
            </wp14:sizeRelV>
          </wp:anchor>
        </w:drawing>
      </w:r>
    </w:p>
    <w:p w14:paraId="0CD16374" w14:textId="32B410DA" w:rsidR="003D774B" w:rsidRPr="003D774B" w:rsidRDefault="0074122A" w:rsidP="0074122A">
      <w:pPr>
        <w:pStyle w:val="Obsah1"/>
      </w:pPr>
      <w:r>
        <w:drawing>
          <wp:anchor distT="0" distB="0" distL="114300" distR="114300" simplePos="0" relativeHeight="251675648" behindDoc="0" locked="0" layoutInCell="1" allowOverlap="1" wp14:anchorId="394BA130" wp14:editId="551ED122">
            <wp:simplePos x="0" y="0"/>
            <wp:positionH relativeFrom="margin">
              <wp:posOffset>2083308</wp:posOffset>
            </wp:positionH>
            <wp:positionV relativeFrom="paragraph">
              <wp:posOffset>130835</wp:posOffset>
            </wp:positionV>
            <wp:extent cx="1440000" cy="507533"/>
            <wp:effectExtent l="0" t="0" r="8255" b="0"/>
            <wp:wrapNone/>
            <wp:docPr id="676482872" name="Obrázek 67648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69392" name="Obrázek 21"/>
                    <pic:cNvPicPr>
                      <a:picLocks noChangeAspect="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507533"/>
                    </a:xfrm>
                    <a:prstGeom prst="rect">
                      <a:avLst/>
                    </a:prstGeom>
                  </pic:spPr>
                </pic:pic>
              </a:graphicData>
            </a:graphic>
            <wp14:sizeRelH relativeFrom="margin">
              <wp14:pctWidth>0</wp14:pctWidth>
            </wp14:sizeRelH>
            <wp14:sizeRelV relativeFrom="margin">
              <wp14:pctHeight>0</wp14:pctHeight>
            </wp14:sizeRelV>
          </wp:anchor>
        </w:drawing>
      </w:r>
    </w:p>
    <w:p w14:paraId="5AAF29BD" w14:textId="3671B50B" w:rsidR="004A4457" w:rsidRPr="004A4457" w:rsidRDefault="004A4457" w:rsidP="00B07D79">
      <w:pPr>
        <w:pStyle w:val="Nadpis2"/>
        <w:numPr>
          <w:ilvl w:val="0"/>
          <w:numId w:val="0"/>
        </w:numPr>
      </w:pPr>
      <w:r w:rsidRPr="004A4457">
        <w:lastRenderedPageBreak/>
        <w:t>Obsah</w:t>
      </w:r>
    </w:p>
    <w:p w14:paraId="799C00C6" w14:textId="246F3E20" w:rsidR="003D774B" w:rsidRPr="004A4457" w:rsidRDefault="008D3A19">
      <w:pPr>
        <w:pStyle w:val="Obsah2"/>
        <w:rPr>
          <w:rFonts w:asciiTheme="minorHAnsi" w:eastAsiaTheme="minorEastAsia" w:hAnsiTheme="minorHAnsi" w:cstheme="minorBidi"/>
          <w:b w:val="0"/>
          <w:noProof/>
          <w:sz w:val="22"/>
        </w:rPr>
      </w:pPr>
      <w:r w:rsidRPr="004A4457">
        <w:rPr>
          <w:rFonts w:asciiTheme="minorHAnsi" w:hAnsiTheme="minorHAnsi"/>
          <w:b w:val="0"/>
          <w:sz w:val="22"/>
        </w:rPr>
        <w:fldChar w:fldCharType="begin"/>
      </w:r>
      <w:r w:rsidRPr="004A4457">
        <w:rPr>
          <w:rFonts w:asciiTheme="minorHAnsi" w:hAnsiTheme="minorHAnsi"/>
          <w:b w:val="0"/>
          <w:sz w:val="22"/>
        </w:rPr>
        <w:instrText xml:space="preserve"> TOC \o "1-4" \h \z </w:instrText>
      </w:r>
      <w:r w:rsidRPr="004A4457">
        <w:rPr>
          <w:rFonts w:asciiTheme="minorHAnsi" w:hAnsiTheme="minorHAnsi"/>
          <w:b w:val="0"/>
          <w:sz w:val="22"/>
        </w:rPr>
        <w:fldChar w:fldCharType="separate"/>
      </w:r>
      <w:hyperlink w:anchor="_Toc173240057" w:history="1">
        <w:r w:rsidR="003D774B" w:rsidRPr="004A4457">
          <w:rPr>
            <w:rStyle w:val="Hypertextovodkaz"/>
            <w:rFonts w:asciiTheme="minorHAnsi" w:hAnsiTheme="minorHAnsi"/>
            <w:b w:val="0"/>
            <w:noProof/>
            <w:sz w:val="22"/>
          </w:rPr>
          <w:t>1.1</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Východiska pro zpracování NAP CM</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_Toc173240057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3</w:t>
        </w:r>
        <w:r w:rsidR="003D774B" w:rsidRPr="004A4457">
          <w:rPr>
            <w:rFonts w:asciiTheme="minorHAnsi" w:hAnsiTheme="minorHAnsi"/>
            <w:b w:val="0"/>
            <w:noProof/>
            <w:webHidden/>
            <w:sz w:val="22"/>
          </w:rPr>
          <w:fldChar w:fldCharType="end"/>
        </w:r>
      </w:hyperlink>
    </w:p>
    <w:p w14:paraId="70D6AE3A" w14:textId="7475A176" w:rsidR="003D774B" w:rsidRPr="004A4457" w:rsidRDefault="004A18F5">
      <w:pPr>
        <w:pStyle w:val="Obsah3"/>
        <w:rPr>
          <w:rFonts w:asciiTheme="minorHAnsi" w:eastAsiaTheme="minorEastAsia" w:hAnsiTheme="minorHAnsi" w:cstheme="minorBidi"/>
        </w:rPr>
      </w:pPr>
      <w:hyperlink w:anchor="_Toc173240058" w:history="1">
        <w:r w:rsidR="003D774B" w:rsidRPr="004A4457">
          <w:rPr>
            <w:rStyle w:val="Hypertextovodkaz"/>
            <w:rFonts w:asciiTheme="minorHAnsi" w:hAnsiTheme="minorHAnsi"/>
          </w:rPr>
          <w:t>1.1.1.</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Právní Unijní legislativa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_Toc173240058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3</w:t>
        </w:r>
        <w:r w:rsidR="003D774B" w:rsidRPr="004A4457">
          <w:rPr>
            <w:rFonts w:asciiTheme="minorHAnsi" w:hAnsiTheme="minorHAnsi"/>
            <w:webHidden/>
          </w:rPr>
          <w:fldChar w:fldCharType="end"/>
        </w:r>
      </w:hyperlink>
    </w:p>
    <w:p w14:paraId="76E6E279" w14:textId="5E52A4FE" w:rsidR="003D774B" w:rsidRPr="004A4457" w:rsidRDefault="004A18F5">
      <w:pPr>
        <w:pStyle w:val="Obsah3"/>
        <w:rPr>
          <w:rFonts w:asciiTheme="minorHAnsi" w:eastAsiaTheme="minorEastAsia" w:hAnsiTheme="minorHAnsi" w:cstheme="minorBidi"/>
        </w:rPr>
      </w:pPr>
      <w:hyperlink w:anchor="_Toc173240059" w:history="1">
        <w:r w:rsidR="003D774B" w:rsidRPr="004A4457">
          <w:rPr>
            <w:rStyle w:val="Hypertextovodkaz"/>
            <w:rFonts w:asciiTheme="minorHAnsi" w:hAnsiTheme="minorHAnsi"/>
          </w:rPr>
          <w:t>1.1.2.</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Legislativní rámec v ČR</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_Toc173240059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6</w:t>
        </w:r>
        <w:r w:rsidR="003D774B" w:rsidRPr="004A4457">
          <w:rPr>
            <w:rFonts w:asciiTheme="minorHAnsi" w:hAnsiTheme="minorHAnsi"/>
            <w:webHidden/>
          </w:rPr>
          <w:fldChar w:fldCharType="end"/>
        </w:r>
      </w:hyperlink>
    </w:p>
    <w:p w14:paraId="128B4275" w14:textId="6FF46AE1" w:rsidR="003D774B" w:rsidRPr="004A4457" w:rsidRDefault="004A18F5">
      <w:pPr>
        <w:pStyle w:val="Obsah4"/>
        <w:rPr>
          <w:rFonts w:asciiTheme="minorHAnsi" w:eastAsiaTheme="minorEastAsia" w:hAnsiTheme="minorHAnsi" w:cstheme="minorBidi"/>
          <w:noProof/>
          <w:szCs w:val="22"/>
        </w:rPr>
      </w:pPr>
      <w:hyperlink w:anchor="_Toc173240060" w:history="1">
        <w:r w:rsidR="003D774B" w:rsidRPr="004A4457">
          <w:rPr>
            <w:rStyle w:val="Hypertextovodkaz"/>
            <w:rFonts w:asciiTheme="minorHAnsi" w:hAnsiTheme="minorHAnsi"/>
            <w:noProof/>
            <w:szCs w:val="22"/>
          </w:rPr>
          <w:t>1.1.2.1</w:t>
        </w:r>
        <w:r w:rsidR="003D774B" w:rsidRPr="004A4457">
          <w:rPr>
            <w:rFonts w:asciiTheme="minorHAnsi" w:eastAsiaTheme="minorEastAsia" w:hAnsiTheme="minorHAnsi" w:cstheme="minorBidi"/>
            <w:noProof/>
            <w:szCs w:val="22"/>
          </w:rPr>
          <w:tab/>
        </w:r>
        <w:r w:rsidR="003D774B" w:rsidRPr="004A4457">
          <w:rPr>
            <w:rStyle w:val="Hypertextovodkaz"/>
            <w:rFonts w:asciiTheme="minorHAnsi" w:hAnsiTheme="minorHAnsi"/>
            <w:noProof/>
            <w:szCs w:val="22"/>
          </w:rPr>
          <w:t>Legislativní dokumenty</w:t>
        </w:r>
        <w:r w:rsidR="003D774B" w:rsidRPr="004A4457">
          <w:rPr>
            <w:rFonts w:asciiTheme="minorHAnsi" w:hAnsiTheme="minorHAnsi"/>
            <w:noProof/>
            <w:webHidden/>
            <w:szCs w:val="22"/>
          </w:rPr>
          <w:tab/>
        </w:r>
        <w:r w:rsidR="003D774B" w:rsidRPr="004A4457">
          <w:rPr>
            <w:rFonts w:asciiTheme="minorHAnsi" w:hAnsiTheme="minorHAnsi"/>
            <w:noProof/>
            <w:webHidden/>
            <w:szCs w:val="22"/>
          </w:rPr>
          <w:fldChar w:fldCharType="begin"/>
        </w:r>
        <w:r w:rsidR="003D774B" w:rsidRPr="004A4457">
          <w:rPr>
            <w:rFonts w:asciiTheme="minorHAnsi" w:hAnsiTheme="minorHAnsi"/>
            <w:noProof/>
            <w:webHidden/>
            <w:szCs w:val="22"/>
          </w:rPr>
          <w:instrText xml:space="preserve"> PAGEREF _Toc173240060 \h </w:instrText>
        </w:r>
        <w:r w:rsidR="003D774B" w:rsidRPr="004A4457">
          <w:rPr>
            <w:rFonts w:asciiTheme="minorHAnsi" w:hAnsiTheme="minorHAnsi"/>
            <w:noProof/>
            <w:webHidden/>
            <w:szCs w:val="22"/>
          </w:rPr>
        </w:r>
        <w:r w:rsidR="003D774B" w:rsidRPr="004A4457">
          <w:rPr>
            <w:rFonts w:asciiTheme="minorHAnsi" w:hAnsiTheme="minorHAnsi"/>
            <w:noProof/>
            <w:webHidden/>
            <w:szCs w:val="22"/>
          </w:rPr>
          <w:fldChar w:fldCharType="separate"/>
        </w:r>
        <w:r w:rsidR="003D774B" w:rsidRPr="004A4457">
          <w:rPr>
            <w:rFonts w:asciiTheme="minorHAnsi" w:hAnsiTheme="minorHAnsi"/>
            <w:noProof/>
            <w:webHidden/>
            <w:szCs w:val="22"/>
          </w:rPr>
          <w:t>6</w:t>
        </w:r>
        <w:r w:rsidR="003D774B" w:rsidRPr="004A4457">
          <w:rPr>
            <w:rFonts w:asciiTheme="minorHAnsi" w:hAnsiTheme="minorHAnsi"/>
            <w:noProof/>
            <w:webHidden/>
            <w:szCs w:val="22"/>
          </w:rPr>
          <w:fldChar w:fldCharType="end"/>
        </w:r>
      </w:hyperlink>
    </w:p>
    <w:p w14:paraId="038137C8" w14:textId="29D8DE1D" w:rsidR="003D774B" w:rsidRPr="004A4457" w:rsidRDefault="004A18F5">
      <w:pPr>
        <w:pStyle w:val="Obsah4"/>
        <w:rPr>
          <w:rFonts w:asciiTheme="minorHAnsi" w:eastAsiaTheme="minorEastAsia" w:hAnsiTheme="minorHAnsi" w:cstheme="minorBidi"/>
          <w:noProof/>
          <w:szCs w:val="22"/>
        </w:rPr>
      </w:pPr>
      <w:hyperlink w:anchor="_Toc173240061" w:history="1">
        <w:r w:rsidR="003D774B" w:rsidRPr="004A4457">
          <w:rPr>
            <w:rStyle w:val="Hypertextovodkaz"/>
            <w:rFonts w:asciiTheme="minorHAnsi" w:hAnsiTheme="minorHAnsi"/>
            <w:noProof/>
            <w:szCs w:val="22"/>
          </w:rPr>
          <w:t>1.1.2.2</w:t>
        </w:r>
        <w:r w:rsidR="003D774B" w:rsidRPr="004A4457">
          <w:rPr>
            <w:rFonts w:asciiTheme="minorHAnsi" w:eastAsiaTheme="minorEastAsia" w:hAnsiTheme="minorHAnsi" w:cstheme="minorBidi"/>
            <w:noProof/>
            <w:szCs w:val="22"/>
          </w:rPr>
          <w:tab/>
        </w:r>
        <w:r w:rsidR="003D774B" w:rsidRPr="004A4457">
          <w:rPr>
            <w:rStyle w:val="Hypertextovodkaz"/>
            <w:rFonts w:asciiTheme="minorHAnsi" w:hAnsiTheme="minorHAnsi"/>
            <w:noProof/>
            <w:szCs w:val="22"/>
          </w:rPr>
          <w:t>Metodické a další dokumenty</w:t>
        </w:r>
        <w:r w:rsidR="003D774B" w:rsidRPr="004A4457">
          <w:rPr>
            <w:rFonts w:asciiTheme="minorHAnsi" w:hAnsiTheme="minorHAnsi"/>
            <w:noProof/>
            <w:webHidden/>
            <w:szCs w:val="22"/>
          </w:rPr>
          <w:tab/>
        </w:r>
        <w:r w:rsidR="003D774B" w:rsidRPr="004A4457">
          <w:rPr>
            <w:rFonts w:asciiTheme="minorHAnsi" w:hAnsiTheme="minorHAnsi"/>
            <w:noProof/>
            <w:webHidden/>
            <w:szCs w:val="22"/>
          </w:rPr>
          <w:fldChar w:fldCharType="begin"/>
        </w:r>
        <w:r w:rsidR="003D774B" w:rsidRPr="004A4457">
          <w:rPr>
            <w:rFonts w:asciiTheme="minorHAnsi" w:hAnsiTheme="minorHAnsi"/>
            <w:noProof/>
            <w:webHidden/>
            <w:szCs w:val="22"/>
          </w:rPr>
          <w:instrText xml:space="preserve"> PAGEREF _Toc173240061 \h </w:instrText>
        </w:r>
        <w:r w:rsidR="003D774B" w:rsidRPr="004A4457">
          <w:rPr>
            <w:rFonts w:asciiTheme="minorHAnsi" w:hAnsiTheme="minorHAnsi"/>
            <w:noProof/>
            <w:webHidden/>
            <w:szCs w:val="22"/>
          </w:rPr>
        </w:r>
        <w:r w:rsidR="003D774B" w:rsidRPr="004A4457">
          <w:rPr>
            <w:rFonts w:asciiTheme="minorHAnsi" w:hAnsiTheme="minorHAnsi"/>
            <w:noProof/>
            <w:webHidden/>
            <w:szCs w:val="22"/>
          </w:rPr>
          <w:fldChar w:fldCharType="separate"/>
        </w:r>
        <w:r w:rsidR="003D774B" w:rsidRPr="004A4457">
          <w:rPr>
            <w:rFonts w:asciiTheme="minorHAnsi" w:hAnsiTheme="minorHAnsi"/>
            <w:noProof/>
            <w:webHidden/>
            <w:szCs w:val="22"/>
          </w:rPr>
          <w:t>8</w:t>
        </w:r>
        <w:r w:rsidR="003D774B" w:rsidRPr="004A4457">
          <w:rPr>
            <w:rFonts w:asciiTheme="minorHAnsi" w:hAnsiTheme="minorHAnsi"/>
            <w:noProof/>
            <w:webHidden/>
            <w:szCs w:val="22"/>
          </w:rPr>
          <w:fldChar w:fldCharType="end"/>
        </w:r>
      </w:hyperlink>
    </w:p>
    <w:p w14:paraId="0F45ACC1" w14:textId="6A3D78CF" w:rsidR="003D774B" w:rsidRPr="004A4457" w:rsidRDefault="004A18F5">
      <w:pPr>
        <w:pStyle w:val="Obsah3"/>
        <w:rPr>
          <w:rFonts w:asciiTheme="minorHAnsi" w:eastAsiaTheme="minorEastAsia" w:hAnsiTheme="minorHAnsi" w:cstheme="minorBidi"/>
        </w:rPr>
      </w:pPr>
      <w:hyperlink w:anchor="_Toc173240062" w:history="1">
        <w:r w:rsidR="003D774B" w:rsidRPr="004A4457">
          <w:rPr>
            <w:rStyle w:val="Hypertextovodkaz"/>
            <w:rFonts w:asciiTheme="minorHAnsi" w:hAnsiTheme="minorHAnsi"/>
          </w:rPr>
          <w:t>1.1.3.</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Strategické dokumenty a studie s vazbou na čistou mobilitu v ČR</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_Toc173240062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9</w:t>
        </w:r>
        <w:r w:rsidR="003D774B" w:rsidRPr="004A4457">
          <w:rPr>
            <w:rFonts w:asciiTheme="minorHAnsi" w:hAnsiTheme="minorHAnsi"/>
            <w:webHidden/>
          </w:rPr>
          <w:fldChar w:fldCharType="end"/>
        </w:r>
      </w:hyperlink>
    </w:p>
    <w:p w14:paraId="7F012B52" w14:textId="279CCF84" w:rsidR="003D774B" w:rsidRPr="004A4457" w:rsidRDefault="004A18F5">
      <w:pPr>
        <w:pStyle w:val="Obsah3"/>
        <w:rPr>
          <w:rFonts w:asciiTheme="minorHAnsi" w:eastAsiaTheme="minorEastAsia" w:hAnsiTheme="minorHAnsi" w:cstheme="minorBidi"/>
        </w:rPr>
      </w:pPr>
      <w:hyperlink w:anchor="_Toc173240063" w:history="1">
        <w:r w:rsidR="003D774B" w:rsidRPr="004A4457">
          <w:rPr>
            <w:rStyle w:val="Hypertextovodkaz"/>
            <w:rFonts w:asciiTheme="minorHAnsi" w:hAnsiTheme="minorHAnsi"/>
          </w:rPr>
          <w:t>1.1.4.</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Stávající podpory k rozvoji čisté mobility v silniční dopravě v ČR</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_Toc173240063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9</w:t>
        </w:r>
        <w:r w:rsidR="003D774B" w:rsidRPr="004A4457">
          <w:rPr>
            <w:rFonts w:asciiTheme="minorHAnsi" w:hAnsiTheme="minorHAnsi"/>
            <w:webHidden/>
          </w:rPr>
          <w:fldChar w:fldCharType="end"/>
        </w:r>
      </w:hyperlink>
    </w:p>
    <w:p w14:paraId="6AE7E65E" w14:textId="4AC6A8F8" w:rsidR="003D774B" w:rsidRPr="004A4457" w:rsidRDefault="004A18F5">
      <w:pPr>
        <w:pStyle w:val="Obsah3"/>
        <w:rPr>
          <w:rFonts w:asciiTheme="minorHAnsi" w:eastAsiaTheme="minorEastAsia" w:hAnsiTheme="minorHAnsi" w:cstheme="minorBidi"/>
        </w:rPr>
      </w:pPr>
      <w:hyperlink w:anchor="_Toc173240064" w:history="1">
        <w:r w:rsidR="003D774B" w:rsidRPr="004A4457">
          <w:rPr>
            <w:rStyle w:val="Hypertextovodkaz"/>
            <w:rFonts w:asciiTheme="minorHAnsi" w:hAnsiTheme="minorHAnsi"/>
          </w:rPr>
          <w:t>1.1.5.</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Širší energetické aspekty</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_Toc173240064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10</w:t>
        </w:r>
        <w:r w:rsidR="003D774B" w:rsidRPr="004A4457">
          <w:rPr>
            <w:rFonts w:asciiTheme="minorHAnsi" w:hAnsiTheme="minorHAnsi"/>
            <w:webHidden/>
          </w:rPr>
          <w:fldChar w:fldCharType="end"/>
        </w:r>
      </w:hyperlink>
    </w:p>
    <w:p w14:paraId="5D7D8E78" w14:textId="21A6A700" w:rsidR="003D774B" w:rsidRPr="004A4457" w:rsidRDefault="004A18F5">
      <w:pPr>
        <w:pStyle w:val="Obsah2"/>
        <w:rPr>
          <w:rFonts w:asciiTheme="minorHAnsi" w:eastAsiaTheme="minorEastAsia" w:hAnsiTheme="minorHAnsi" w:cstheme="minorBidi"/>
          <w:b w:val="0"/>
          <w:noProof/>
          <w:sz w:val="22"/>
        </w:rPr>
      </w:pPr>
      <w:hyperlink w:anchor="_Toc173240065" w:history="1">
        <w:r w:rsidR="003D774B" w:rsidRPr="004A4457">
          <w:rPr>
            <w:rStyle w:val="Hypertextovodkaz"/>
            <w:rFonts w:asciiTheme="minorHAnsi" w:hAnsiTheme="minorHAnsi"/>
            <w:b w:val="0"/>
            <w:noProof/>
            <w:sz w:val="22"/>
          </w:rPr>
          <w:t>1.2</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Čistá mobilita v širších souvislostech</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_Toc173240065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12</w:t>
        </w:r>
        <w:r w:rsidR="003D774B" w:rsidRPr="004A4457">
          <w:rPr>
            <w:rFonts w:asciiTheme="minorHAnsi" w:hAnsiTheme="minorHAnsi"/>
            <w:b w:val="0"/>
            <w:noProof/>
            <w:webHidden/>
            <w:sz w:val="22"/>
          </w:rPr>
          <w:fldChar w:fldCharType="end"/>
        </w:r>
      </w:hyperlink>
    </w:p>
    <w:p w14:paraId="34CF8835" w14:textId="5B015571" w:rsidR="003D774B" w:rsidRPr="004A4457" w:rsidRDefault="004A18F5">
      <w:pPr>
        <w:pStyle w:val="Obsah3"/>
        <w:rPr>
          <w:rFonts w:asciiTheme="minorHAnsi" w:eastAsiaTheme="minorEastAsia" w:hAnsiTheme="minorHAnsi" w:cstheme="minorBidi"/>
        </w:rPr>
      </w:pPr>
      <w:hyperlink w:anchor="_Toc173240066" w:history="1">
        <w:r w:rsidR="003D774B" w:rsidRPr="004A4457">
          <w:rPr>
            <w:rStyle w:val="Hypertextovodkaz"/>
            <w:rFonts w:asciiTheme="minorHAnsi" w:hAnsiTheme="minorHAnsi" w:cstheme="majorBidi"/>
          </w:rPr>
          <w:t>1.2.1.</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Multimodalita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_Toc173240066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14</w:t>
        </w:r>
        <w:r w:rsidR="003D774B" w:rsidRPr="004A4457">
          <w:rPr>
            <w:rFonts w:asciiTheme="minorHAnsi" w:hAnsiTheme="minorHAnsi"/>
            <w:webHidden/>
          </w:rPr>
          <w:fldChar w:fldCharType="end"/>
        </w:r>
      </w:hyperlink>
    </w:p>
    <w:p w14:paraId="18A92156" w14:textId="32E4BAD6" w:rsidR="003D774B" w:rsidRPr="004A4457" w:rsidRDefault="004A18F5">
      <w:pPr>
        <w:pStyle w:val="Obsah3"/>
        <w:rPr>
          <w:rFonts w:asciiTheme="minorHAnsi" w:eastAsiaTheme="minorEastAsia" w:hAnsiTheme="minorHAnsi" w:cstheme="minorBidi"/>
        </w:rPr>
      </w:pPr>
      <w:hyperlink w:anchor="_Toc173240067" w:history="1">
        <w:r w:rsidR="003D774B" w:rsidRPr="004A4457">
          <w:rPr>
            <w:rStyle w:val="Hypertextovodkaz"/>
            <w:rFonts w:asciiTheme="minorHAnsi" w:hAnsiTheme="minorHAnsi"/>
          </w:rPr>
          <w:t>1.2.2.</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Baterie a její životnost</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_Toc173240067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15</w:t>
        </w:r>
        <w:r w:rsidR="003D774B" w:rsidRPr="004A4457">
          <w:rPr>
            <w:rFonts w:asciiTheme="minorHAnsi" w:hAnsiTheme="minorHAnsi"/>
            <w:webHidden/>
          </w:rPr>
          <w:fldChar w:fldCharType="end"/>
        </w:r>
      </w:hyperlink>
    </w:p>
    <w:p w14:paraId="2B70B00B" w14:textId="30A51DD7" w:rsidR="003D774B" w:rsidRPr="004A4457" w:rsidRDefault="004A18F5">
      <w:pPr>
        <w:pStyle w:val="Obsah3"/>
        <w:rPr>
          <w:rFonts w:asciiTheme="minorHAnsi" w:eastAsiaTheme="minorEastAsia" w:hAnsiTheme="minorHAnsi" w:cstheme="minorBidi"/>
        </w:rPr>
      </w:pPr>
      <w:hyperlink w:anchor="_Toc173240068" w:history="1">
        <w:r w:rsidR="003D774B" w:rsidRPr="004A4457">
          <w:rPr>
            <w:rStyle w:val="Hypertextovodkaz"/>
            <w:rFonts w:asciiTheme="minorHAnsi" w:hAnsiTheme="minorHAnsi" w:cstheme="majorBidi"/>
          </w:rPr>
          <w:t>1.2.3.</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Energetika a dopravy – možnost vytvoření synergického efektu</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_Toc173240068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15</w:t>
        </w:r>
        <w:r w:rsidR="003D774B" w:rsidRPr="004A4457">
          <w:rPr>
            <w:rFonts w:asciiTheme="minorHAnsi" w:hAnsiTheme="minorHAnsi"/>
            <w:webHidden/>
          </w:rPr>
          <w:fldChar w:fldCharType="end"/>
        </w:r>
      </w:hyperlink>
    </w:p>
    <w:p w14:paraId="1D1E5AA2" w14:textId="702381C4" w:rsidR="003D774B" w:rsidRPr="004A4457" w:rsidRDefault="004A18F5">
      <w:pPr>
        <w:pStyle w:val="Obsah3"/>
        <w:rPr>
          <w:rFonts w:asciiTheme="minorHAnsi" w:eastAsiaTheme="minorEastAsia" w:hAnsiTheme="minorHAnsi" w:cstheme="minorBidi"/>
        </w:rPr>
      </w:pPr>
      <w:hyperlink w:anchor="_Toc173240069" w:history="1">
        <w:r w:rsidR="003D774B" w:rsidRPr="004A4457">
          <w:rPr>
            <w:rStyle w:val="Hypertextovodkaz"/>
            <w:rFonts w:asciiTheme="minorHAnsi" w:hAnsiTheme="minorHAnsi"/>
          </w:rPr>
          <w:t>1.2.4.</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Technologické možnosti bezemisní mobility</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_Toc173240069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19</w:t>
        </w:r>
        <w:r w:rsidR="003D774B" w:rsidRPr="004A4457">
          <w:rPr>
            <w:rFonts w:asciiTheme="minorHAnsi" w:hAnsiTheme="minorHAnsi"/>
            <w:webHidden/>
          </w:rPr>
          <w:fldChar w:fldCharType="end"/>
        </w:r>
      </w:hyperlink>
    </w:p>
    <w:p w14:paraId="3087BB04" w14:textId="6D0C278C" w:rsidR="003D774B" w:rsidRPr="004A4457" w:rsidRDefault="004A18F5">
      <w:pPr>
        <w:pStyle w:val="Obsah3"/>
        <w:rPr>
          <w:rFonts w:asciiTheme="minorHAnsi" w:eastAsiaTheme="minorEastAsia" w:hAnsiTheme="minorHAnsi" w:cstheme="minorBidi"/>
        </w:rPr>
      </w:pPr>
      <w:hyperlink w:anchor="_Toc173240070" w:history="1">
        <w:r w:rsidR="003D774B" w:rsidRPr="004A4457">
          <w:rPr>
            <w:rStyle w:val="Hypertextovodkaz"/>
            <w:rFonts w:asciiTheme="minorHAnsi" w:hAnsiTheme="minorHAnsi" w:cstheme="majorBidi"/>
          </w:rPr>
          <w:t>1.2.5.</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Letecká doprava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_Toc173240070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20</w:t>
        </w:r>
        <w:r w:rsidR="003D774B" w:rsidRPr="004A4457">
          <w:rPr>
            <w:rFonts w:asciiTheme="minorHAnsi" w:hAnsiTheme="minorHAnsi"/>
            <w:webHidden/>
          </w:rPr>
          <w:fldChar w:fldCharType="end"/>
        </w:r>
      </w:hyperlink>
    </w:p>
    <w:p w14:paraId="621E4AD6" w14:textId="1B8115C0" w:rsidR="003D774B" w:rsidRPr="004A4457" w:rsidRDefault="004A18F5">
      <w:pPr>
        <w:pStyle w:val="Obsah3"/>
        <w:rPr>
          <w:rFonts w:asciiTheme="minorHAnsi" w:eastAsiaTheme="minorEastAsia" w:hAnsiTheme="minorHAnsi" w:cstheme="minorBidi"/>
        </w:rPr>
      </w:pPr>
      <w:hyperlink w:anchor="_Toc173240071" w:history="1">
        <w:r w:rsidR="003D774B" w:rsidRPr="004A4457">
          <w:rPr>
            <w:rStyle w:val="Hypertextovodkaz"/>
            <w:rFonts w:asciiTheme="minorHAnsi" w:hAnsiTheme="minorHAnsi" w:cstheme="majorBidi"/>
          </w:rPr>
          <w:t>1.2.6.</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Vodní doprava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_Toc173240071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20</w:t>
        </w:r>
        <w:r w:rsidR="003D774B" w:rsidRPr="004A4457">
          <w:rPr>
            <w:rFonts w:asciiTheme="minorHAnsi" w:hAnsiTheme="minorHAnsi"/>
            <w:webHidden/>
          </w:rPr>
          <w:fldChar w:fldCharType="end"/>
        </w:r>
      </w:hyperlink>
    </w:p>
    <w:p w14:paraId="3F29F166" w14:textId="6CAE856E" w:rsidR="003D774B" w:rsidRPr="004A4457" w:rsidRDefault="004A18F5">
      <w:pPr>
        <w:pStyle w:val="Obsah3"/>
        <w:rPr>
          <w:rFonts w:asciiTheme="minorHAnsi" w:eastAsiaTheme="minorEastAsia" w:hAnsiTheme="minorHAnsi" w:cstheme="minorBidi"/>
        </w:rPr>
      </w:pPr>
      <w:hyperlink w:anchor="_Toc173240072" w:history="1">
        <w:r w:rsidR="003D774B" w:rsidRPr="004A4457">
          <w:rPr>
            <w:rStyle w:val="Hypertextovodkaz"/>
            <w:rFonts w:asciiTheme="minorHAnsi" w:hAnsiTheme="minorHAnsi" w:cstheme="majorBidi"/>
          </w:rPr>
          <w:t>1.2.7.</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Železnice</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_Toc173240072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20</w:t>
        </w:r>
        <w:r w:rsidR="003D774B" w:rsidRPr="004A4457">
          <w:rPr>
            <w:rFonts w:asciiTheme="minorHAnsi" w:hAnsiTheme="minorHAnsi"/>
            <w:webHidden/>
          </w:rPr>
          <w:fldChar w:fldCharType="end"/>
        </w:r>
      </w:hyperlink>
    </w:p>
    <w:p w14:paraId="471EA0FC" w14:textId="0BB3D7C6" w:rsidR="003D774B" w:rsidRPr="004A4457" w:rsidRDefault="004A18F5">
      <w:pPr>
        <w:pStyle w:val="Obsah2"/>
        <w:rPr>
          <w:rFonts w:asciiTheme="minorHAnsi" w:eastAsiaTheme="minorEastAsia" w:hAnsiTheme="minorHAnsi" w:cstheme="minorBidi"/>
          <w:b w:val="0"/>
          <w:noProof/>
          <w:sz w:val="22"/>
        </w:rPr>
      </w:pPr>
      <w:hyperlink w:anchor="_Toc173240073" w:history="1">
        <w:r w:rsidR="003D774B" w:rsidRPr="004A4457">
          <w:rPr>
            <w:rStyle w:val="Hypertextovodkaz"/>
            <w:rFonts w:asciiTheme="minorHAnsi" w:hAnsiTheme="minorHAnsi"/>
            <w:b w:val="0"/>
            <w:noProof/>
            <w:sz w:val="22"/>
          </w:rPr>
          <w:t>1.3</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Vyhodnocení dosavadního vývoje zavádění alternativních paliv v oblasti silničních vozidel</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_Toc173240073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25</w:t>
        </w:r>
        <w:r w:rsidR="003D774B" w:rsidRPr="004A4457">
          <w:rPr>
            <w:rFonts w:asciiTheme="minorHAnsi" w:hAnsiTheme="minorHAnsi"/>
            <w:b w:val="0"/>
            <w:noProof/>
            <w:webHidden/>
            <w:sz w:val="22"/>
          </w:rPr>
          <w:fldChar w:fldCharType="end"/>
        </w:r>
      </w:hyperlink>
    </w:p>
    <w:p w14:paraId="7D12AF98" w14:textId="3A6101A9" w:rsidR="003D774B" w:rsidRPr="004A4457" w:rsidRDefault="004A18F5">
      <w:pPr>
        <w:pStyle w:val="Obsah3"/>
        <w:rPr>
          <w:rFonts w:asciiTheme="minorHAnsi" w:eastAsiaTheme="minorEastAsia" w:hAnsiTheme="minorHAnsi" w:cstheme="minorBidi"/>
        </w:rPr>
      </w:pPr>
      <w:hyperlink w:anchor="_Toc173240074" w:history="1">
        <w:r w:rsidR="003D774B" w:rsidRPr="004A4457">
          <w:rPr>
            <w:rStyle w:val="Hypertextovodkaz"/>
            <w:rFonts w:asciiTheme="minorHAnsi" w:eastAsia="Arial" w:hAnsiTheme="minorHAnsi"/>
          </w:rPr>
          <w:t>1.3.1.</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Elektrická vozidla – evropský kontext</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_Toc173240074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26</w:t>
        </w:r>
        <w:r w:rsidR="003D774B" w:rsidRPr="004A4457">
          <w:rPr>
            <w:rFonts w:asciiTheme="minorHAnsi" w:hAnsiTheme="minorHAnsi"/>
            <w:webHidden/>
          </w:rPr>
          <w:fldChar w:fldCharType="end"/>
        </w:r>
      </w:hyperlink>
    </w:p>
    <w:p w14:paraId="50E7686F" w14:textId="6F97695B" w:rsidR="003D774B" w:rsidRPr="004A4457" w:rsidRDefault="004A18F5">
      <w:pPr>
        <w:pStyle w:val="Obsah3"/>
        <w:rPr>
          <w:rFonts w:asciiTheme="minorHAnsi" w:eastAsiaTheme="minorEastAsia" w:hAnsiTheme="minorHAnsi" w:cstheme="minorBidi"/>
        </w:rPr>
      </w:pPr>
      <w:hyperlink w:anchor="_Toc173240075" w:history="1">
        <w:r w:rsidR="003D774B" w:rsidRPr="004A4457">
          <w:rPr>
            <w:rStyle w:val="Hypertextovodkaz"/>
            <w:rFonts w:asciiTheme="minorHAnsi" w:hAnsiTheme="minorHAnsi"/>
          </w:rPr>
          <w:t>1.3.2.</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Elektrická vozidla – Česká republika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_Toc173240075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29</w:t>
        </w:r>
        <w:r w:rsidR="003D774B" w:rsidRPr="004A4457">
          <w:rPr>
            <w:rFonts w:asciiTheme="minorHAnsi" w:hAnsiTheme="minorHAnsi"/>
            <w:webHidden/>
          </w:rPr>
          <w:fldChar w:fldCharType="end"/>
        </w:r>
      </w:hyperlink>
    </w:p>
    <w:p w14:paraId="589E3ADF" w14:textId="053E8734" w:rsidR="003D774B" w:rsidRPr="004A4457" w:rsidRDefault="004A18F5">
      <w:pPr>
        <w:pStyle w:val="Obsah2"/>
        <w:rPr>
          <w:rFonts w:asciiTheme="minorHAnsi" w:eastAsiaTheme="minorEastAsia" w:hAnsiTheme="minorHAnsi" w:cstheme="minorBidi"/>
          <w:b w:val="0"/>
          <w:noProof/>
          <w:sz w:val="22"/>
        </w:rPr>
      </w:pPr>
      <w:hyperlink w:anchor="_Toc173240076" w:history="1">
        <w:r w:rsidR="003D774B" w:rsidRPr="004A4457">
          <w:rPr>
            <w:rStyle w:val="Hypertextovodkaz"/>
            <w:rFonts w:asciiTheme="minorHAnsi" w:hAnsiTheme="minorHAnsi"/>
            <w:b w:val="0"/>
            <w:noProof/>
            <w:sz w:val="22"/>
          </w:rPr>
          <w:t>1.4</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Vyhodnocení dosavadního vývoje v oblasti infrastruktury</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_Toc173240076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34</w:t>
        </w:r>
        <w:r w:rsidR="003D774B" w:rsidRPr="004A4457">
          <w:rPr>
            <w:rFonts w:asciiTheme="minorHAnsi" w:hAnsiTheme="minorHAnsi"/>
            <w:b w:val="0"/>
            <w:noProof/>
            <w:webHidden/>
            <w:sz w:val="22"/>
          </w:rPr>
          <w:fldChar w:fldCharType="end"/>
        </w:r>
      </w:hyperlink>
    </w:p>
    <w:p w14:paraId="494560F7" w14:textId="550F9F76" w:rsidR="003D774B" w:rsidRPr="004A4457" w:rsidRDefault="004A18F5">
      <w:pPr>
        <w:pStyle w:val="Obsah3"/>
        <w:rPr>
          <w:rFonts w:asciiTheme="minorHAnsi" w:eastAsiaTheme="minorEastAsia" w:hAnsiTheme="minorHAnsi" w:cstheme="minorBidi"/>
        </w:rPr>
      </w:pPr>
      <w:hyperlink w:anchor="_Toc173240077" w:history="1">
        <w:r w:rsidR="003D774B" w:rsidRPr="004A4457">
          <w:rPr>
            <w:rStyle w:val="Hypertextovodkaz"/>
            <w:rFonts w:asciiTheme="minorHAnsi" w:eastAsia="Arial" w:hAnsiTheme="minorHAnsi"/>
          </w:rPr>
          <w:t>1.4.1.</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Dobíjecí stanice – evropský kontext</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_Toc173240077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34</w:t>
        </w:r>
        <w:r w:rsidR="003D774B" w:rsidRPr="004A4457">
          <w:rPr>
            <w:rFonts w:asciiTheme="minorHAnsi" w:hAnsiTheme="minorHAnsi"/>
            <w:webHidden/>
          </w:rPr>
          <w:fldChar w:fldCharType="end"/>
        </w:r>
      </w:hyperlink>
    </w:p>
    <w:p w14:paraId="05A5C969" w14:textId="73BA7C51" w:rsidR="003D774B" w:rsidRPr="004A4457" w:rsidRDefault="004A18F5">
      <w:pPr>
        <w:pStyle w:val="Obsah3"/>
        <w:rPr>
          <w:rFonts w:asciiTheme="minorHAnsi" w:eastAsiaTheme="minorEastAsia" w:hAnsiTheme="minorHAnsi" w:cstheme="minorBidi"/>
        </w:rPr>
      </w:pPr>
      <w:hyperlink w:anchor="_Toc173240078" w:history="1">
        <w:r w:rsidR="003D774B" w:rsidRPr="004A4457">
          <w:rPr>
            <w:rStyle w:val="Hypertextovodkaz"/>
            <w:rFonts w:asciiTheme="minorHAnsi" w:eastAsia="Arial" w:hAnsiTheme="minorHAnsi"/>
          </w:rPr>
          <w:t>1.4.2.</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Dobíjecí stanice – Česká republika</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_Toc173240078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37</w:t>
        </w:r>
        <w:r w:rsidR="003D774B" w:rsidRPr="004A4457">
          <w:rPr>
            <w:rFonts w:asciiTheme="minorHAnsi" w:hAnsiTheme="minorHAnsi"/>
            <w:webHidden/>
          </w:rPr>
          <w:fldChar w:fldCharType="end"/>
        </w:r>
      </w:hyperlink>
    </w:p>
    <w:p w14:paraId="442C8747" w14:textId="6FEC3426" w:rsidR="003D774B" w:rsidRPr="004A4457" w:rsidRDefault="004A18F5">
      <w:pPr>
        <w:pStyle w:val="Obsah3"/>
        <w:rPr>
          <w:rFonts w:asciiTheme="minorHAnsi" w:eastAsiaTheme="minorEastAsia" w:hAnsiTheme="minorHAnsi" w:cstheme="minorBidi"/>
        </w:rPr>
      </w:pPr>
      <w:hyperlink w:anchor="_Toc173240079" w:history="1">
        <w:r w:rsidR="003D774B" w:rsidRPr="004A4457">
          <w:rPr>
            <w:rStyle w:val="Hypertextovodkaz"/>
            <w:rFonts w:asciiTheme="minorHAnsi" w:hAnsiTheme="minorHAnsi"/>
          </w:rPr>
          <w:t>1.4.3.</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Veřejné plničky CNG a LNG</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_Toc173240079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41</w:t>
        </w:r>
        <w:r w:rsidR="003D774B" w:rsidRPr="004A4457">
          <w:rPr>
            <w:rFonts w:asciiTheme="minorHAnsi" w:hAnsiTheme="minorHAnsi"/>
            <w:webHidden/>
          </w:rPr>
          <w:fldChar w:fldCharType="end"/>
        </w:r>
      </w:hyperlink>
    </w:p>
    <w:p w14:paraId="7B4E893A" w14:textId="228AF381" w:rsidR="003D774B" w:rsidRPr="004A4457" w:rsidRDefault="004A18F5">
      <w:pPr>
        <w:pStyle w:val="Obsah3"/>
        <w:rPr>
          <w:rFonts w:asciiTheme="minorHAnsi" w:eastAsiaTheme="minorEastAsia" w:hAnsiTheme="minorHAnsi" w:cstheme="minorBidi"/>
        </w:rPr>
      </w:pPr>
      <w:hyperlink w:anchor="_Toc173240080" w:history="1">
        <w:r w:rsidR="003D774B" w:rsidRPr="004A4457">
          <w:rPr>
            <w:rStyle w:val="Hypertextovodkaz"/>
            <w:rFonts w:asciiTheme="minorHAnsi" w:hAnsiTheme="minorHAnsi"/>
          </w:rPr>
          <w:t>1.4.4.</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Veřejné čerpací stanice H2</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_Toc173240080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41</w:t>
        </w:r>
        <w:r w:rsidR="003D774B" w:rsidRPr="004A4457">
          <w:rPr>
            <w:rFonts w:asciiTheme="minorHAnsi" w:hAnsiTheme="minorHAnsi"/>
            <w:webHidden/>
          </w:rPr>
          <w:fldChar w:fldCharType="end"/>
        </w:r>
      </w:hyperlink>
    </w:p>
    <w:p w14:paraId="0EF37F7E" w14:textId="3D82AD84" w:rsidR="003D774B" w:rsidRPr="004A4457" w:rsidRDefault="004A18F5">
      <w:pPr>
        <w:pStyle w:val="Obsah3"/>
        <w:rPr>
          <w:rFonts w:asciiTheme="minorHAnsi" w:eastAsiaTheme="minorEastAsia" w:hAnsiTheme="minorHAnsi" w:cstheme="minorBidi"/>
        </w:rPr>
      </w:pPr>
      <w:hyperlink w:anchor="_Toc173240081" w:history="1">
        <w:r w:rsidR="003D774B" w:rsidRPr="004A4457">
          <w:rPr>
            <w:rStyle w:val="Hypertextovodkaz"/>
            <w:rFonts w:asciiTheme="minorHAnsi" w:hAnsiTheme="minorHAnsi"/>
          </w:rPr>
          <w:t>1.4.5.</w:t>
        </w:r>
        <w:r w:rsidR="003D774B" w:rsidRPr="004A4457">
          <w:rPr>
            <w:rFonts w:asciiTheme="minorHAnsi" w:eastAsiaTheme="minorEastAsia" w:hAnsiTheme="minorHAnsi" w:cstheme="minorBidi"/>
          </w:rPr>
          <w:tab/>
        </w:r>
        <w:r w:rsidR="003D774B" w:rsidRPr="004A4457">
          <w:rPr>
            <w:rStyle w:val="Hypertextovodkaz"/>
            <w:rFonts w:asciiTheme="minorHAnsi" w:hAnsiTheme="minorHAnsi"/>
          </w:rPr>
          <w:t>Spotřeba paliv</w:t>
        </w:r>
        <w:r w:rsidR="003D774B" w:rsidRPr="004A4457">
          <w:rPr>
            <w:rFonts w:asciiTheme="minorHAnsi" w:hAnsiTheme="minorHAnsi"/>
            <w:webHidden/>
          </w:rPr>
          <w:tab/>
        </w:r>
        <w:r w:rsidR="003D774B" w:rsidRPr="004A4457">
          <w:rPr>
            <w:rFonts w:asciiTheme="minorHAnsi" w:hAnsiTheme="minorHAnsi"/>
            <w:webHidden/>
          </w:rPr>
          <w:fldChar w:fldCharType="begin"/>
        </w:r>
        <w:r w:rsidR="003D774B" w:rsidRPr="004A4457">
          <w:rPr>
            <w:rFonts w:asciiTheme="minorHAnsi" w:hAnsiTheme="minorHAnsi"/>
            <w:webHidden/>
          </w:rPr>
          <w:instrText xml:space="preserve"> PAGEREF _Toc173240081 \h </w:instrText>
        </w:r>
        <w:r w:rsidR="003D774B" w:rsidRPr="004A4457">
          <w:rPr>
            <w:rFonts w:asciiTheme="minorHAnsi" w:hAnsiTheme="minorHAnsi"/>
            <w:webHidden/>
          </w:rPr>
        </w:r>
        <w:r w:rsidR="003D774B" w:rsidRPr="004A4457">
          <w:rPr>
            <w:rFonts w:asciiTheme="minorHAnsi" w:hAnsiTheme="minorHAnsi"/>
            <w:webHidden/>
          </w:rPr>
          <w:fldChar w:fldCharType="separate"/>
        </w:r>
        <w:r w:rsidR="003D774B" w:rsidRPr="004A4457">
          <w:rPr>
            <w:rFonts w:asciiTheme="minorHAnsi" w:hAnsiTheme="minorHAnsi"/>
            <w:webHidden/>
          </w:rPr>
          <w:t>42</w:t>
        </w:r>
        <w:r w:rsidR="003D774B" w:rsidRPr="004A4457">
          <w:rPr>
            <w:rFonts w:asciiTheme="minorHAnsi" w:hAnsiTheme="minorHAnsi"/>
            <w:webHidden/>
          </w:rPr>
          <w:fldChar w:fldCharType="end"/>
        </w:r>
      </w:hyperlink>
    </w:p>
    <w:p w14:paraId="2E6EBD58" w14:textId="514FA91B" w:rsidR="003D774B" w:rsidRPr="004A4457" w:rsidRDefault="004A18F5">
      <w:pPr>
        <w:pStyle w:val="Obsah4"/>
        <w:rPr>
          <w:rFonts w:asciiTheme="minorHAnsi" w:eastAsiaTheme="minorEastAsia" w:hAnsiTheme="minorHAnsi" w:cstheme="minorBidi"/>
          <w:noProof/>
          <w:szCs w:val="22"/>
        </w:rPr>
      </w:pPr>
      <w:hyperlink w:anchor="_Toc173240082" w:history="1">
        <w:r w:rsidR="003D774B" w:rsidRPr="004A4457">
          <w:rPr>
            <w:rStyle w:val="Hypertextovodkaz"/>
            <w:rFonts w:asciiTheme="minorHAnsi" w:hAnsiTheme="minorHAnsi"/>
            <w:noProof/>
            <w:szCs w:val="22"/>
          </w:rPr>
          <w:t>1.4.5.1</w:t>
        </w:r>
        <w:r w:rsidR="003D774B" w:rsidRPr="004A4457">
          <w:rPr>
            <w:rFonts w:asciiTheme="minorHAnsi" w:eastAsiaTheme="minorEastAsia" w:hAnsiTheme="minorHAnsi" w:cstheme="minorBidi"/>
            <w:noProof/>
            <w:szCs w:val="22"/>
          </w:rPr>
          <w:tab/>
        </w:r>
        <w:r w:rsidR="003D774B" w:rsidRPr="004A4457">
          <w:rPr>
            <w:rStyle w:val="Hypertextovodkaz"/>
            <w:rFonts w:asciiTheme="minorHAnsi" w:hAnsiTheme="minorHAnsi"/>
            <w:noProof/>
            <w:szCs w:val="22"/>
          </w:rPr>
          <w:t>Spotřeba elektřiny</w:t>
        </w:r>
        <w:r w:rsidR="003D774B" w:rsidRPr="004A4457">
          <w:rPr>
            <w:rFonts w:asciiTheme="minorHAnsi" w:hAnsiTheme="minorHAnsi"/>
            <w:noProof/>
            <w:webHidden/>
            <w:szCs w:val="22"/>
          </w:rPr>
          <w:tab/>
        </w:r>
        <w:r w:rsidR="003D774B" w:rsidRPr="004A4457">
          <w:rPr>
            <w:rFonts w:asciiTheme="minorHAnsi" w:hAnsiTheme="minorHAnsi"/>
            <w:noProof/>
            <w:webHidden/>
            <w:szCs w:val="22"/>
          </w:rPr>
          <w:fldChar w:fldCharType="begin"/>
        </w:r>
        <w:r w:rsidR="003D774B" w:rsidRPr="004A4457">
          <w:rPr>
            <w:rFonts w:asciiTheme="minorHAnsi" w:hAnsiTheme="minorHAnsi"/>
            <w:noProof/>
            <w:webHidden/>
            <w:szCs w:val="22"/>
          </w:rPr>
          <w:instrText xml:space="preserve"> PAGEREF _Toc173240082 \h </w:instrText>
        </w:r>
        <w:r w:rsidR="003D774B" w:rsidRPr="004A4457">
          <w:rPr>
            <w:rFonts w:asciiTheme="minorHAnsi" w:hAnsiTheme="minorHAnsi"/>
            <w:noProof/>
            <w:webHidden/>
            <w:szCs w:val="22"/>
          </w:rPr>
        </w:r>
        <w:r w:rsidR="003D774B" w:rsidRPr="004A4457">
          <w:rPr>
            <w:rFonts w:asciiTheme="minorHAnsi" w:hAnsiTheme="minorHAnsi"/>
            <w:noProof/>
            <w:webHidden/>
            <w:szCs w:val="22"/>
          </w:rPr>
          <w:fldChar w:fldCharType="separate"/>
        </w:r>
        <w:r w:rsidR="003D774B" w:rsidRPr="004A4457">
          <w:rPr>
            <w:rFonts w:asciiTheme="minorHAnsi" w:hAnsiTheme="minorHAnsi"/>
            <w:noProof/>
            <w:webHidden/>
            <w:szCs w:val="22"/>
          </w:rPr>
          <w:t>42</w:t>
        </w:r>
        <w:r w:rsidR="003D774B" w:rsidRPr="004A4457">
          <w:rPr>
            <w:rFonts w:asciiTheme="minorHAnsi" w:hAnsiTheme="minorHAnsi"/>
            <w:noProof/>
            <w:webHidden/>
            <w:szCs w:val="22"/>
          </w:rPr>
          <w:fldChar w:fldCharType="end"/>
        </w:r>
      </w:hyperlink>
    </w:p>
    <w:p w14:paraId="6962B820" w14:textId="062CA186" w:rsidR="003D774B" w:rsidRPr="004A4457" w:rsidRDefault="004A18F5">
      <w:pPr>
        <w:pStyle w:val="Obsah4"/>
        <w:rPr>
          <w:rFonts w:asciiTheme="minorHAnsi" w:eastAsiaTheme="minorEastAsia" w:hAnsiTheme="minorHAnsi" w:cstheme="minorBidi"/>
          <w:noProof/>
          <w:szCs w:val="22"/>
        </w:rPr>
      </w:pPr>
      <w:hyperlink w:anchor="_Toc173240083" w:history="1">
        <w:r w:rsidR="003D774B" w:rsidRPr="004A4457">
          <w:rPr>
            <w:rStyle w:val="Hypertextovodkaz"/>
            <w:rFonts w:asciiTheme="minorHAnsi" w:hAnsiTheme="minorHAnsi"/>
            <w:noProof/>
            <w:szCs w:val="22"/>
          </w:rPr>
          <w:t>1.4.5.2</w:t>
        </w:r>
        <w:r w:rsidR="003D774B" w:rsidRPr="004A4457">
          <w:rPr>
            <w:rFonts w:asciiTheme="minorHAnsi" w:eastAsiaTheme="minorEastAsia" w:hAnsiTheme="minorHAnsi" w:cstheme="minorBidi"/>
            <w:noProof/>
            <w:szCs w:val="22"/>
          </w:rPr>
          <w:tab/>
        </w:r>
        <w:r w:rsidR="003D774B" w:rsidRPr="004A4457">
          <w:rPr>
            <w:rStyle w:val="Hypertextovodkaz"/>
            <w:rFonts w:asciiTheme="minorHAnsi" w:hAnsiTheme="minorHAnsi"/>
            <w:noProof/>
            <w:szCs w:val="22"/>
          </w:rPr>
          <w:t>Spotřeba CNG, LNG a bioCNG</w:t>
        </w:r>
        <w:r w:rsidR="003D774B" w:rsidRPr="004A4457">
          <w:rPr>
            <w:rFonts w:asciiTheme="minorHAnsi" w:hAnsiTheme="minorHAnsi"/>
            <w:noProof/>
            <w:webHidden/>
            <w:szCs w:val="22"/>
          </w:rPr>
          <w:tab/>
        </w:r>
        <w:r w:rsidR="003D774B" w:rsidRPr="004A4457">
          <w:rPr>
            <w:rFonts w:asciiTheme="minorHAnsi" w:hAnsiTheme="minorHAnsi"/>
            <w:noProof/>
            <w:webHidden/>
            <w:szCs w:val="22"/>
          </w:rPr>
          <w:fldChar w:fldCharType="begin"/>
        </w:r>
        <w:r w:rsidR="003D774B" w:rsidRPr="004A4457">
          <w:rPr>
            <w:rFonts w:asciiTheme="minorHAnsi" w:hAnsiTheme="minorHAnsi"/>
            <w:noProof/>
            <w:webHidden/>
            <w:szCs w:val="22"/>
          </w:rPr>
          <w:instrText xml:space="preserve"> PAGEREF _Toc173240083 \h </w:instrText>
        </w:r>
        <w:r w:rsidR="003D774B" w:rsidRPr="004A4457">
          <w:rPr>
            <w:rFonts w:asciiTheme="minorHAnsi" w:hAnsiTheme="minorHAnsi"/>
            <w:noProof/>
            <w:webHidden/>
            <w:szCs w:val="22"/>
          </w:rPr>
        </w:r>
        <w:r w:rsidR="003D774B" w:rsidRPr="004A4457">
          <w:rPr>
            <w:rFonts w:asciiTheme="minorHAnsi" w:hAnsiTheme="minorHAnsi"/>
            <w:noProof/>
            <w:webHidden/>
            <w:szCs w:val="22"/>
          </w:rPr>
          <w:fldChar w:fldCharType="separate"/>
        </w:r>
        <w:r w:rsidR="003D774B" w:rsidRPr="004A4457">
          <w:rPr>
            <w:rFonts w:asciiTheme="minorHAnsi" w:hAnsiTheme="minorHAnsi"/>
            <w:noProof/>
            <w:webHidden/>
            <w:szCs w:val="22"/>
          </w:rPr>
          <w:t>42</w:t>
        </w:r>
        <w:r w:rsidR="003D774B" w:rsidRPr="004A4457">
          <w:rPr>
            <w:rFonts w:asciiTheme="minorHAnsi" w:hAnsiTheme="minorHAnsi"/>
            <w:noProof/>
            <w:webHidden/>
            <w:szCs w:val="22"/>
          </w:rPr>
          <w:fldChar w:fldCharType="end"/>
        </w:r>
      </w:hyperlink>
    </w:p>
    <w:p w14:paraId="0B3E97B1" w14:textId="295A5A3D" w:rsidR="003D774B" w:rsidRPr="004A4457" w:rsidRDefault="004A18F5">
      <w:pPr>
        <w:pStyle w:val="Obsah2"/>
        <w:rPr>
          <w:rFonts w:asciiTheme="minorHAnsi" w:eastAsiaTheme="minorEastAsia" w:hAnsiTheme="minorHAnsi" w:cstheme="minorBidi"/>
          <w:b w:val="0"/>
          <w:noProof/>
          <w:sz w:val="22"/>
        </w:rPr>
      </w:pPr>
      <w:hyperlink w:anchor="_Toc173240084" w:history="1">
        <w:r w:rsidR="003D774B" w:rsidRPr="004A4457">
          <w:rPr>
            <w:rStyle w:val="Hypertextovodkaz"/>
            <w:rFonts w:asciiTheme="minorHAnsi" w:hAnsiTheme="minorHAnsi"/>
            <w:b w:val="0"/>
            <w:noProof/>
            <w:sz w:val="22"/>
          </w:rPr>
          <w:t>1.5</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Vyhodnocení dosavadního vývoje při zavádění alternativních paliv v železniční dopravě</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_Toc173240084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43</w:t>
        </w:r>
        <w:r w:rsidR="003D774B" w:rsidRPr="004A4457">
          <w:rPr>
            <w:rFonts w:asciiTheme="minorHAnsi" w:hAnsiTheme="minorHAnsi"/>
            <w:b w:val="0"/>
            <w:noProof/>
            <w:webHidden/>
            <w:sz w:val="22"/>
          </w:rPr>
          <w:fldChar w:fldCharType="end"/>
        </w:r>
      </w:hyperlink>
    </w:p>
    <w:p w14:paraId="7B4E22A3" w14:textId="6BED46BF" w:rsidR="003D774B" w:rsidRPr="004A4457" w:rsidRDefault="004A18F5">
      <w:pPr>
        <w:pStyle w:val="Obsah2"/>
        <w:rPr>
          <w:rFonts w:asciiTheme="minorHAnsi" w:eastAsiaTheme="minorEastAsia" w:hAnsiTheme="minorHAnsi" w:cstheme="minorBidi"/>
          <w:b w:val="0"/>
          <w:noProof/>
          <w:sz w:val="22"/>
        </w:rPr>
      </w:pPr>
      <w:hyperlink w:anchor="_Toc173240085" w:history="1">
        <w:r w:rsidR="003D774B" w:rsidRPr="004A4457">
          <w:rPr>
            <w:rStyle w:val="Hypertextovodkaz"/>
            <w:rFonts w:asciiTheme="minorHAnsi" w:hAnsiTheme="minorHAnsi"/>
            <w:b w:val="0"/>
            <w:noProof/>
            <w:sz w:val="22"/>
          </w:rPr>
          <w:t>1.6</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Prognózy vývoje elektromobility v silniční dopravě</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_Toc173240085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44</w:t>
        </w:r>
        <w:r w:rsidR="003D774B" w:rsidRPr="004A4457">
          <w:rPr>
            <w:rFonts w:asciiTheme="minorHAnsi" w:hAnsiTheme="minorHAnsi"/>
            <w:b w:val="0"/>
            <w:noProof/>
            <w:webHidden/>
            <w:sz w:val="22"/>
          </w:rPr>
          <w:fldChar w:fldCharType="end"/>
        </w:r>
      </w:hyperlink>
    </w:p>
    <w:p w14:paraId="7F93B009" w14:textId="78E8BC3C" w:rsidR="003D774B" w:rsidRPr="004A4457" w:rsidRDefault="004A18F5">
      <w:pPr>
        <w:pStyle w:val="Obsah2"/>
        <w:rPr>
          <w:rFonts w:asciiTheme="minorHAnsi" w:eastAsiaTheme="minorEastAsia" w:hAnsiTheme="minorHAnsi" w:cstheme="minorBidi"/>
          <w:b w:val="0"/>
          <w:noProof/>
          <w:sz w:val="22"/>
        </w:rPr>
      </w:pPr>
      <w:hyperlink w:anchor="_Toc173240086" w:history="1">
        <w:r w:rsidR="003D774B" w:rsidRPr="004A4457">
          <w:rPr>
            <w:rStyle w:val="Hypertextovodkaz"/>
            <w:rFonts w:asciiTheme="minorHAnsi" w:hAnsiTheme="minorHAnsi"/>
            <w:b w:val="0"/>
            <w:noProof/>
            <w:sz w:val="22"/>
          </w:rPr>
          <w:t>1.7</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Prognózy vývoje LPG (bioLPG)</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_Toc173240086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52</w:t>
        </w:r>
        <w:r w:rsidR="003D774B" w:rsidRPr="004A4457">
          <w:rPr>
            <w:rFonts w:asciiTheme="minorHAnsi" w:hAnsiTheme="minorHAnsi"/>
            <w:b w:val="0"/>
            <w:noProof/>
            <w:webHidden/>
            <w:sz w:val="22"/>
          </w:rPr>
          <w:fldChar w:fldCharType="end"/>
        </w:r>
      </w:hyperlink>
    </w:p>
    <w:p w14:paraId="5FD54DF7" w14:textId="122129CE" w:rsidR="003D774B" w:rsidRPr="004A4457" w:rsidRDefault="004A18F5">
      <w:pPr>
        <w:pStyle w:val="Obsah2"/>
        <w:rPr>
          <w:rFonts w:asciiTheme="minorHAnsi" w:eastAsiaTheme="minorEastAsia" w:hAnsiTheme="minorHAnsi" w:cstheme="minorBidi"/>
          <w:b w:val="0"/>
          <w:noProof/>
          <w:sz w:val="22"/>
        </w:rPr>
      </w:pPr>
      <w:hyperlink w:anchor="_Toc173240087" w:history="1">
        <w:r w:rsidR="003D774B" w:rsidRPr="004A4457">
          <w:rPr>
            <w:rStyle w:val="Hypertextovodkaz"/>
            <w:rFonts w:asciiTheme="minorHAnsi" w:hAnsiTheme="minorHAnsi"/>
            <w:b w:val="0"/>
            <w:noProof/>
            <w:sz w:val="22"/>
          </w:rPr>
          <w:t>1.8</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Paliva na bázi čpavku</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_Toc173240087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58</w:t>
        </w:r>
        <w:r w:rsidR="003D774B" w:rsidRPr="004A4457">
          <w:rPr>
            <w:rFonts w:asciiTheme="minorHAnsi" w:hAnsiTheme="minorHAnsi"/>
            <w:b w:val="0"/>
            <w:noProof/>
            <w:webHidden/>
            <w:sz w:val="22"/>
          </w:rPr>
          <w:fldChar w:fldCharType="end"/>
        </w:r>
      </w:hyperlink>
    </w:p>
    <w:p w14:paraId="151CF0F2" w14:textId="1CCD3C04" w:rsidR="003D774B" w:rsidRPr="004A4457" w:rsidRDefault="004A18F5">
      <w:pPr>
        <w:pStyle w:val="Obsah2"/>
        <w:rPr>
          <w:rFonts w:asciiTheme="minorHAnsi" w:eastAsiaTheme="minorEastAsia" w:hAnsiTheme="minorHAnsi" w:cstheme="minorBidi"/>
          <w:b w:val="0"/>
          <w:noProof/>
          <w:sz w:val="22"/>
        </w:rPr>
      </w:pPr>
      <w:hyperlink w:anchor="_Toc173240088" w:history="1">
        <w:r w:rsidR="003D774B" w:rsidRPr="004A4457">
          <w:rPr>
            <w:rStyle w:val="Hypertextovodkaz"/>
            <w:rFonts w:asciiTheme="minorHAnsi" w:hAnsiTheme="minorHAnsi"/>
            <w:b w:val="0"/>
            <w:noProof/>
            <w:sz w:val="22"/>
          </w:rPr>
          <w:t>1.9</w:t>
        </w:r>
        <w:r w:rsidR="003D774B" w:rsidRPr="004A4457">
          <w:rPr>
            <w:rFonts w:asciiTheme="minorHAnsi" w:eastAsiaTheme="minorEastAsia" w:hAnsiTheme="minorHAnsi" w:cstheme="minorBidi"/>
            <w:b w:val="0"/>
            <w:noProof/>
            <w:sz w:val="22"/>
          </w:rPr>
          <w:tab/>
        </w:r>
        <w:r w:rsidR="003D774B" w:rsidRPr="004A4457">
          <w:rPr>
            <w:rStyle w:val="Hypertextovodkaz"/>
            <w:rFonts w:asciiTheme="minorHAnsi" w:hAnsiTheme="minorHAnsi"/>
            <w:b w:val="0"/>
            <w:noProof/>
            <w:sz w:val="22"/>
          </w:rPr>
          <w:t>Syntetická paliva</w:t>
        </w:r>
        <w:r w:rsidR="003D774B" w:rsidRPr="004A4457">
          <w:rPr>
            <w:rFonts w:asciiTheme="minorHAnsi" w:hAnsiTheme="minorHAnsi"/>
            <w:b w:val="0"/>
            <w:noProof/>
            <w:webHidden/>
            <w:sz w:val="22"/>
          </w:rPr>
          <w:tab/>
        </w:r>
        <w:r w:rsidR="003D774B" w:rsidRPr="004A4457">
          <w:rPr>
            <w:rFonts w:asciiTheme="minorHAnsi" w:hAnsiTheme="minorHAnsi"/>
            <w:b w:val="0"/>
            <w:noProof/>
            <w:webHidden/>
            <w:sz w:val="22"/>
          </w:rPr>
          <w:fldChar w:fldCharType="begin"/>
        </w:r>
        <w:r w:rsidR="003D774B" w:rsidRPr="004A4457">
          <w:rPr>
            <w:rFonts w:asciiTheme="minorHAnsi" w:hAnsiTheme="minorHAnsi"/>
            <w:b w:val="0"/>
            <w:noProof/>
            <w:webHidden/>
            <w:sz w:val="22"/>
          </w:rPr>
          <w:instrText xml:space="preserve"> PAGEREF _Toc173240088 \h </w:instrText>
        </w:r>
        <w:r w:rsidR="003D774B" w:rsidRPr="004A4457">
          <w:rPr>
            <w:rFonts w:asciiTheme="minorHAnsi" w:hAnsiTheme="minorHAnsi"/>
            <w:b w:val="0"/>
            <w:noProof/>
            <w:webHidden/>
            <w:sz w:val="22"/>
          </w:rPr>
        </w:r>
        <w:r w:rsidR="003D774B" w:rsidRPr="004A4457">
          <w:rPr>
            <w:rFonts w:asciiTheme="minorHAnsi" w:hAnsiTheme="minorHAnsi"/>
            <w:b w:val="0"/>
            <w:noProof/>
            <w:webHidden/>
            <w:sz w:val="22"/>
          </w:rPr>
          <w:fldChar w:fldCharType="separate"/>
        </w:r>
        <w:r w:rsidR="003D774B" w:rsidRPr="004A4457">
          <w:rPr>
            <w:rFonts w:asciiTheme="minorHAnsi" w:hAnsiTheme="minorHAnsi"/>
            <w:b w:val="0"/>
            <w:noProof/>
            <w:webHidden/>
            <w:sz w:val="22"/>
          </w:rPr>
          <w:t>62</w:t>
        </w:r>
        <w:r w:rsidR="003D774B" w:rsidRPr="004A4457">
          <w:rPr>
            <w:rFonts w:asciiTheme="minorHAnsi" w:hAnsiTheme="minorHAnsi"/>
            <w:b w:val="0"/>
            <w:noProof/>
            <w:webHidden/>
            <w:sz w:val="22"/>
          </w:rPr>
          <w:fldChar w:fldCharType="end"/>
        </w:r>
      </w:hyperlink>
    </w:p>
    <w:p w14:paraId="56755180" w14:textId="12544331" w:rsidR="00542F6F" w:rsidRPr="004A4457" w:rsidRDefault="008D3A19" w:rsidP="00231292">
      <w:pPr>
        <w:pStyle w:val="Obsah1"/>
        <w:rPr>
          <w:rFonts w:asciiTheme="minorHAnsi" w:hAnsiTheme="minorHAnsi"/>
          <w:sz w:val="22"/>
        </w:rPr>
      </w:pPr>
      <w:r w:rsidRPr="004A4457">
        <w:rPr>
          <w:rFonts w:asciiTheme="minorHAnsi" w:hAnsiTheme="minorHAnsi"/>
          <w:b w:val="0"/>
          <w:bCs w:val="0"/>
          <w:sz w:val="22"/>
        </w:rPr>
        <w:fldChar w:fldCharType="end"/>
      </w:r>
      <w:r w:rsidR="00A54BCC" w:rsidRPr="004A4457" w:rsidDel="00A54BCC">
        <w:rPr>
          <w:rFonts w:asciiTheme="minorHAnsi" w:hAnsiTheme="minorHAnsi"/>
          <w:sz w:val="22"/>
        </w:rPr>
        <w:t xml:space="preserve"> </w:t>
      </w:r>
      <w:bookmarkStart w:id="1" w:name="_Toc152329001"/>
      <w:bookmarkStart w:id="2" w:name="_Toc152329422"/>
      <w:bookmarkStart w:id="3" w:name="_Toc152329002"/>
      <w:bookmarkStart w:id="4" w:name="_Toc152329423"/>
      <w:bookmarkStart w:id="5" w:name="_Toc152329003"/>
      <w:bookmarkStart w:id="6" w:name="_Toc152329424"/>
      <w:bookmarkStart w:id="7" w:name="_Toc152329004"/>
      <w:bookmarkStart w:id="8" w:name="_Toc152329425"/>
      <w:bookmarkStart w:id="9" w:name="_Toc152329005"/>
      <w:bookmarkStart w:id="10" w:name="_Toc152329426"/>
      <w:bookmarkStart w:id="11" w:name="_Toc152329006"/>
      <w:bookmarkStart w:id="12" w:name="_Toc152329427"/>
      <w:bookmarkStart w:id="13" w:name="_Toc152329007"/>
      <w:bookmarkStart w:id="14" w:name="_Toc152329428"/>
      <w:bookmarkStart w:id="15" w:name="_Toc152329008"/>
      <w:bookmarkStart w:id="16" w:name="_Toc152329429"/>
      <w:bookmarkStart w:id="17" w:name="_Toc152329009"/>
      <w:bookmarkStart w:id="18" w:name="_Toc152329430"/>
      <w:bookmarkStart w:id="19" w:name="_Toc152329010"/>
      <w:bookmarkStart w:id="20" w:name="_Toc152329431"/>
      <w:bookmarkStart w:id="21" w:name="_Toc152329011"/>
      <w:bookmarkStart w:id="22" w:name="_Toc152329432"/>
      <w:bookmarkStart w:id="23" w:name="_Toc152329012"/>
      <w:bookmarkStart w:id="24" w:name="_Toc152329433"/>
      <w:bookmarkStart w:id="25" w:name="_Toc152329013"/>
      <w:bookmarkStart w:id="26" w:name="_Toc152329434"/>
      <w:bookmarkStart w:id="27" w:name="_Toc152329014"/>
      <w:bookmarkStart w:id="28" w:name="_Toc152329435"/>
      <w:bookmarkStart w:id="29" w:name="_Toc152329015"/>
      <w:bookmarkStart w:id="30" w:name="_Toc152329436"/>
      <w:bookmarkStart w:id="31" w:name="_Toc152329016"/>
      <w:bookmarkStart w:id="32" w:name="_Toc152329437"/>
      <w:bookmarkStart w:id="33" w:name="_Toc152329017"/>
      <w:bookmarkStart w:id="34" w:name="_Toc152329438"/>
      <w:bookmarkStart w:id="35" w:name="_Toc152329018"/>
      <w:bookmarkStart w:id="36" w:name="_Toc152329439"/>
      <w:bookmarkStart w:id="37" w:name="_Toc152329019"/>
      <w:bookmarkStart w:id="38" w:name="_Toc152329440"/>
      <w:bookmarkStart w:id="39" w:name="_Toc152329020"/>
      <w:bookmarkStart w:id="40" w:name="_Toc152329441"/>
      <w:bookmarkStart w:id="41" w:name="_Toc152329021"/>
      <w:bookmarkStart w:id="42" w:name="_Toc152329442"/>
      <w:bookmarkStart w:id="43" w:name="_Toc152329022"/>
      <w:bookmarkStart w:id="44" w:name="_Toc152329443"/>
      <w:bookmarkStart w:id="45" w:name="_Toc152329023"/>
      <w:bookmarkStart w:id="46" w:name="_Toc152329444"/>
      <w:bookmarkStart w:id="47" w:name="_Toc152329024"/>
      <w:bookmarkStart w:id="48" w:name="_Toc152329445"/>
      <w:bookmarkStart w:id="49" w:name="_Toc152329025"/>
      <w:bookmarkStart w:id="50" w:name="_Toc152329446"/>
      <w:bookmarkStart w:id="51" w:name="_Toc152329026"/>
      <w:bookmarkStart w:id="52" w:name="_Toc152329447"/>
      <w:bookmarkStart w:id="53" w:name="_Toc152329027"/>
      <w:bookmarkStart w:id="54" w:name="_Toc152329448"/>
      <w:bookmarkStart w:id="55" w:name="_Toc152329028"/>
      <w:bookmarkStart w:id="56" w:name="_Toc152329449"/>
      <w:bookmarkStart w:id="57" w:name="_Toc152329029"/>
      <w:bookmarkStart w:id="58" w:name="_Toc152329450"/>
      <w:bookmarkStart w:id="59" w:name="_Toc152329030"/>
      <w:bookmarkStart w:id="60" w:name="_Toc152329451"/>
      <w:bookmarkStart w:id="61" w:name="_Toc152329031"/>
      <w:bookmarkStart w:id="62" w:name="_Toc152329452"/>
      <w:bookmarkStart w:id="63" w:name="_Toc152329032"/>
      <w:bookmarkStart w:id="64" w:name="_Toc152329453"/>
      <w:bookmarkStart w:id="65" w:name="_Toc152329033"/>
      <w:bookmarkStart w:id="66" w:name="_Toc152329454"/>
      <w:bookmarkStart w:id="67" w:name="_Toc152329034"/>
      <w:bookmarkStart w:id="68" w:name="_Toc152329455"/>
      <w:bookmarkStart w:id="69" w:name="_Toc152329035"/>
      <w:bookmarkStart w:id="70" w:name="_Toc152329456"/>
      <w:bookmarkStart w:id="71" w:name="_Toc152329036"/>
      <w:bookmarkStart w:id="72" w:name="_Toc152329457"/>
      <w:bookmarkStart w:id="73" w:name="_Toc152329037"/>
      <w:bookmarkStart w:id="74" w:name="_Toc152329458"/>
      <w:bookmarkStart w:id="75" w:name="_Toc152329038"/>
      <w:bookmarkStart w:id="76" w:name="_Toc152329459"/>
      <w:bookmarkStart w:id="77" w:name="_Toc152329039"/>
      <w:bookmarkStart w:id="78" w:name="_Toc152329460"/>
      <w:bookmarkStart w:id="79" w:name="_Toc152329040"/>
      <w:bookmarkStart w:id="80" w:name="_Toc152329461"/>
      <w:bookmarkStart w:id="81" w:name="_Toc152329041"/>
      <w:bookmarkStart w:id="82" w:name="_Toc152329462"/>
      <w:bookmarkStart w:id="83" w:name="_Toc152329042"/>
      <w:bookmarkStart w:id="84" w:name="_Toc152329463"/>
      <w:bookmarkStart w:id="85" w:name="_Toc152329043"/>
      <w:bookmarkStart w:id="86" w:name="_Toc152329464"/>
      <w:bookmarkStart w:id="87" w:name="_Toc152329044"/>
      <w:bookmarkStart w:id="88" w:name="_Toc152329465"/>
      <w:bookmarkStart w:id="89" w:name="_Toc152329045"/>
      <w:bookmarkStart w:id="90" w:name="_Toc152329466"/>
      <w:bookmarkStart w:id="91" w:name="_Toc152329046"/>
      <w:bookmarkStart w:id="92" w:name="_Toc152329467"/>
      <w:bookmarkStart w:id="93" w:name="_Toc152329047"/>
      <w:bookmarkStart w:id="94" w:name="_Toc152329468"/>
      <w:bookmarkStart w:id="95" w:name="_Toc152329048"/>
      <w:bookmarkStart w:id="96" w:name="_Toc152329469"/>
      <w:bookmarkStart w:id="97" w:name="_Toc152329049"/>
      <w:bookmarkStart w:id="98" w:name="_Toc152329470"/>
      <w:bookmarkStart w:id="99" w:name="_Toc152329050"/>
      <w:bookmarkStart w:id="100" w:name="_Toc152329471"/>
      <w:bookmarkStart w:id="101" w:name="_Toc152329051"/>
      <w:bookmarkStart w:id="102" w:name="_Toc152329472"/>
      <w:bookmarkStart w:id="103" w:name="_Toc152329052"/>
      <w:bookmarkStart w:id="104" w:name="_Toc152329473"/>
      <w:bookmarkStart w:id="105" w:name="_Toc152329053"/>
      <w:bookmarkStart w:id="106" w:name="_Toc152329474"/>
      <w:bookmarkStart w:id="107" w:name="_Toc152329054"/>
      <w:bookmarkStart w:id="108" w:name="_Toc152329475"/>
      <w:bookmarkStart w:id="109" w:name="_Toc152329055"/>
      <w:bookmarkStart w:id="110" w:name="_Toc152329476"/>
      <w:bookmarkStart w:id="111" w:name="_Toc152329056"/>
      <w:bookmarkStart w:id="112" w:name="_Toc152329477"/>
      <w:bookmarkStart w:id="113" w:name="_Toc152329057"/>
      <w:bookmarkStart w:id="114" w:name="_Toc152329478"/>
      <w:bookmarkStart w:id="115" w:name="_Toc152329058"/>
      <w:bookmarkStart w:id="116" w:name="_Toc152329479"/>
      <w:bookmarkStart w:id="117" w:name="_Toc152329059"/>
      <w:bookmarkStart w:id="118" w:name="_Toc152329480"/>
      <w:bookmarkStart w:id="119" w:name="_Toc152329060"/>
      <w:bookmarkStart w:id="120" w:name="_Toc152329481"/>
      <w:bookmarkStart w:id="121" w:name="_Toc152329061"/>
      <w:bookmarkStart w:id="122" w:name="_Toc152329482"/>
      <w:bookmarkStart w:id="123" w:name="_Toc152329062"/>
      <w:bookmarkStart w:id="124" w:name="_Toc152329483"/>
      <w:bookmarkStart w:id="125" w:name="_Toc152329063"/>
      <w:bookmarkStart w:id="126" w:name="_Toc152329484"/>
      <w:bookmarkStart w:id="127" w:name="_Toc152329064"/>
      <w:bookmarkStart w:id="128" w:name="_Toc152329485"/>
      <w:bookmarkStart w:id="129" w:name="_Toc152329065"/>
      <w:bookmarkStart w:id="130" w:name="_Toc152329486"/>
      <w:bookmarkStart w:id="131" w:name="_Toc152329066"/>
      <w:bookmarkStart w:id="132" w:name="_Toc152329487"/>
      <w:bookmarkStart w:id="133" w:name="_Toc152329067"/>
      <w:bookmarkStart w:id="134" w:name="_Toc152329488"/>
      <w:bookmarkStart w:id="135" w:name="_Toc152329068"/>
      <w:bookmarkStart w:id="136" w:name="_Toc152329489"/>
      <w:bookmarkStart w:id="137" w:name="_Toc152329069"/>
      <w:bookmarkStart w:id="138" w:name="_Toc152329490"/>
      <w:bookmarkStart w:id="139" w:name="_Toc152329070"/>
      <w:bookmarkStart w:id="140" w:name="_Toc152329491"/>
      <w:bookmarkStart w:id="141" w:name="_Toc152329071"/>
      <w:bookmarkStart w:id="142" w:name="_Toc152329492"/>
      <w:bookmarkStart w:id="143" w:name="_Toc152329072"/>
      <w:bookmarkStart w:id="144" w:name="_Toc152329493"/>
      <w:bookmarkStart w:id="145" w:name="_Toc152329073"/>
      <w:bookmarkStart w:id="146" w:name="_Toc152329494"/>
      <w:bookmarkStart w:id="147" w:name="_Toc152329074"/>
      <w:bookmarkStart w:id="148" w:name="_Toc152329495"/>
      <w:bookmarkStart w:id="149" w:name="_Toc152329075"/>
      <w:bookmarkStart w:id="150" w:name="_Toc152329496"/>
      <w:bookmarkStart w:id="151" w:name="_Toc152329076"/>
      <w:bookmarkStart w:id="152" w:name="_Toc152329497"/>
      <w:bookmarkStart w:id="153" w:name="_Toc152329077"/>
      <w:bookmarkStart w:id="154" w:name="_Toc152329498"/>
      <w:bookmarkStart w:id="155" w:name="_Toc152329078"/>
      <w:bookmarkStart w:id="156" w:name="_Toc152329499"/>
      <w:bookmarkStart w:id="157" w:name="_Toc152329079"/>
      <w:bookmarkStart w:id="158" w:name="_Toc152329500"/>
      <w:bookmarkStart w:id="159" w:name="_Toc152329080"/>
      <w:bookmarkStart w:id="160" w:name="_Toc152329501"/>
      <w:bookmarkStart w:id="161" w:name="_Toc152329081"/>
      <w:bookmarkStart w:id="162" w:name="_Toc152329502"/>
      <w:bookmarkStart w:id="163" w:name="_Toc152329082"/>
      <w:bookmarkStart w:id="164" w:name="_Toc152329503"/>
      <w:bookmarkStart w:id="165" w:name="_Toc152329083"/>
      <w:bookmarkStart w:id="166" w:name="_Toc152329504"/>
      <w:bookmarkStart w:id="167" w:name="_Toc141262403"/>
      <w:bookmarkStart w:id="168" w:name="_Toc152329806"/>
      <w:bookmarkStart w:id="169" w:name="_Toc149911229"/>
      <w:bookmarkStart w:id="170" w:name="_Toc159264311"/>
      <w:bookmarkStart w:id="171" w:name="_Toc153208219"/>
      <w:bookmarkStart w:id="172" w:name="_Toc159332155"/>
      <w:bookmarkStart w:id="173" w:name="_Toc159336636"/>
      <w:bookmarkStart w:id="174" w:name="_Toc160021739"/>
      <w:bookmarkStart w:id="175" w:name="_Toc1624474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58E5401" w14:textId="77777777" w:rsidR="00542F6F" w:rsidRDefault="00542F6F" w:rsidP="00231292">
      <w:pPr>
        <w:pStyle w:val="Obsah1"/>
      </w:pPr>
    </w:p>
    <w:p w14:paraId="01F1357F" w14:textId="1B3BEB83" w:rsidR="00BF2BD1" w:rsidRPr="004A4457" w:rsidRDefault="00BF2BD1" w:rsidP="004A4457">
      <w:pPr>
        <w:pStyle w:val="Nadpis1"/>
        <w:numPr>
          <w:ilvl w:val="0"/>
          <w:numId w:val="0"/>
        </w:numPr>
        <w:rPr>
          <w:color w:val="auto"/>
        </w:rPr>
      </w:pPr>
      <w:r w:rsidRPr="004A4457">
        <w:rPr>
          <w:color w:val="auto"/>
        </w:rPr>
        <w:lastRenderedPageBreak/>
        <w:t>Příloh</w:t>
      </w:r>
      <w:r w:rsidR="00073A35" w:rsidRPr="004A4457">
        <w:rPr>
          <w:color w:val="auto"/>
        </w:rPr>
        <w:t>a</w:t>
      </w:r>
      <w:bookmarkEnd w:id="167"/>
      <w:bookmarkEnd w:id="168"/>
      <w:bookmarkEnd w:id="169"/>
      <w:bookmarkEnd w:id="170"/>
      <w:bookmarkEnd w:id="171"/>
      <w:bookmarkEnd w:id="172"/>
      <w:bookmarkEnd w:id="173"/>
      <w:bookmarkEnd w:id="174"/>
      <w:bookmarkEnd w:id="175"/>
    </w:p>
    <w:p w14:paraId="2C5C18EC" w14:textId="77777777" w:rsidR="002E476D" w:rsidRPr="004A4457" w:rsidRDefault="002E476D" w:rsidP="004A4457">
      <w:pPr>
        <w:pStyle w:val="Nadpis1"/>
      </w:pPr>
      <w:bookmarkStart w:id="176" w:name="_Toc152329386"/>
      <w:bookmarkStart w:id="177" w:name="_Toc152329807"/>
      <w:bookmarkStart w:id="178" w:name="_Toc152329808"/>
      <w:bookmarkStart w:id="179" w:name="_Toc153208220"/>
      <w:bookmarkStart w:id="180" w:name="_Toc159264315"/>
      <w:bookmarkStart w:id="181" w:name="_Toc159332156"/>
      <w:bookmarkStart w:id="182" w:name="_Toc159336637"/>
      <w:bookmarkStart w:id="183" w:name="_Toc160021740"/>
      <w:bookmarkStart w:id="184" w:name="_Toc162447430"/>
      <w:bookmarkStart w:id="185" w:name="_Toc173240057"/>
      <w:bookmarkStart w:id="186" w:name="_Toc141262404"/>
      <w:bookmarkEnd w:id="176"/>
      <w:bookmarkEnd w:id="177"/>
      <w:r w:rsidRPr="004A4457">
        <w:t>Východiska pro zpracování NAP CM</w:t>
      </w:r>
      <w:bookmarkEnd w:id="178"/>
      <w:bookmarkEnd w:id="179"/>
      <w:bookmarkEnd w:id="180"/>
      <w:bookmarkEnd w:id="181"/>
      <w:bookmarkEnd w:id="182"/>
      <w:bookmarkEnd w:id="183"/>
      <w:bookmarkEnd w:id="184"/>
      <w:bookmarkEnd w:id="185"/>
    </w:p>
    <w:p w14:paraId="327EEF0F" w14:textId="77777777" w:rsidR="00FD4D63" w:rsidRPr="004A4457" w:rsidRDefault="001F77FC" w:rsidP="000E5B59">
      <w:pPr>
        <w:pStyle w:val="Nadpis2"/>
      </w:pPr>
      <w:bookmarkStart w:id="187" w:name="_Toc173240058"/>
      <w:r w:rsidRPr="004A4457">
        <w:t>Právn</w:t>
      </w:r>
      <w:r w:rsidR="00BB6115" w:rsidRPr="004A4457">
        <w:t>í</w:t>
      </w:r>
      <w:r w:rsidR="00FD4D63" w:rsidRPr="004A4457">
        <w:t xml:space="preserve"> Unijní legislativa</w:t>
      </w:r>
      <w:bookmarkEnd w:id="187"/>
    </w:p>
    <w:p w14:paraId="4AA5D416" w14:textId="4DA72147" w:rsidR="005F73AF" w:rsidRPr="004A4457" w:rsidRDefault="005F73AF" w:rsidP="004A4457">
      <w:pPr>
        <w:spacing w:line="276" w:lineRule="auto"/>
        <w:jc w:val="both"/>
        <w:rPr>
          <w:rFonts w:asciiTheme="minorHAnsi" w:hAnsiTheme="minorHAnsi"/>
        </w:rPr>
      </w:pPr>
      <w:r w:rsidRPr="004A4457">
        <w:rPr>
          <w:rFonts w:asciiTheme="minorHAnsi" w:hAnsiTheme="minorHAnsi"/>
        </w:rPr>
        <w:t xml:space="preserve">V návaznosti na </w:t>
      </w:r>
      <w:proofErr w:type="gramStart"/>
      <w:r w:rsidRPr="004A4457">
        <w:rPr>
          <w:rFonts w:asciiTheme="minorHAnsi" w:hAnsiTheme="minorHAnsi"/>
        </w:rPr>
        <w:t>Zelenou</w:t>
      </w:r>
      <w:proofErr w:type="gramEnd"/>
      <w:r w:rsidRPr="004A4457">
        <w:rPr>
          <w:rFonts w:asciiTheme="minorHAnsi" w:hAnsiTheme="minorHAnsi"/>
        </w:rPr>
        <w:t xml:space="preserve"> dohodu Evropská komise zpracovala tzv. Balíček „Fit </w:t>
      </w:r>
      <w:r w:rsidRPr="004A4457">
        <w:rPr>
          <w:rFonts w:asciiTheme="minorHAnsi" w:hAnsiTheme="minorHAnsi"/>
          <w:lang w:val="en-GB"/>
        </w:rPr>
        <w:t>for</w:t>
      </w:r>
      <w:r w:rsidRPr="004A4457">
        <w:rPr>
          <w:rFonts w:asciiTheme="minorHAnsi" w:hAnsiTheme="minorHAnsi"/>
        </w:rPr>
        <w:t xml:space="preserve"> 55“ obsahující nové legislativní návrhy týkající se snižování emisí v</w:t>
      </w:r>
      <w:r w:rsidR="00CF2351" w:rsidRPr="004A4457">
        <w:rPr>
          <w:rFonts w:asciiTheme="minorHAnsi" w:hAnsiTheme="minorHAnsi"/>
        </w:rPr>
        <w:t> </w:t>
      </w:r>
      <w:r w:rsidRPr="004A4457">
        <w:rPr>
          <w:rFonts w:asciiTheme="minorHAnsi" w:hAnsiTheme="minorHAnsi"/>
        </w:rPr>
        <w:t>dopravě a</w:t>
      </w:r>
      <w:r w:rsidR="00CF2351" w:rsidRPr="004A4457">
        <w:rPr>
          <w:rFonts w:asciiTheme="minorHAnsi" w:hAnsiTheme="minorHAnsi"/>
        </w:rPr>
        <w:t> </w:t>
      </w:r>
      <w:r w:rsidRPr="004A4457">
        <w:rPr>
          <w:rFonts w:asciiTheme="minorHAnsi" w:hAnsiTheme="minorHAnsi"/>
        </w:rPr>
        <w:t>zavádění infrastruktury pro alternativní paliva. Jedná se o:</w:t>
      </w:r>
    </w:p>
    <w:p w14:paraId="0BEC1A4B" w14:textId="6141C2D6" w:rsidR="00A27944" w:rsidRPr="004A4457" w:rsidRDefault="00A27944" w:rsidP="004A4457">
      <w:pPr>
        <w:pStyle w:val="Bullet1"/>
        <w:numPr>
          <w:ilvl w:val="0"/>
          <w:numId w:val="151"/>
        </w:numPr>
        <w:spacing w:line="276" w:lineRule="auto"/>
        <w:jc w:val="both"/>
        <w:rPr>
          <w:rFonts w:asciiTheme="minorHAnsi" w:hAnsiTheme="minorHAnsi"/>
        </w:rPr>
      </w:pPr>
      <w:r w:rsidRPr="004A4457">
        <w:rPr>
          <w:rFonts w:asciiTheme="minorHAnsi" w:hAnsiTheme="minorHAnsi"/>
        </w:rPr>
        <w:t>Nařízení Evropského parlamentu a</w:t>
      </w:r>
      <w:r w:rsidR="00CF2351" w:rsidRPr="004A4457">
        <w:rPr>
          <w:rFonts w:asciiTheme="minorHAnsi" w:hAnsiTheme="minorHAnsi"/>
        </w:rPr>
        <w:t> </w:t>
      </w:r>
      <w:r w:rsidRPr="004A4457">
        <w:rPr>
          <w:rFonts w:asciiTheme="minorHAnsi" w:hAnsiTheme="minorHAnsi"/>
        </w:rPr>
        <w:t xml:space="preserve">Rady (EU) č. 2023/1804 ze dne 13. </w:t>
      </w:r>
      <w:r w:rsidR="00B93262" w:rsidRPr="004A4457">
        <w:rPr>
          <w:rFonts w:asciiTheme="minorHAnsi" w:hAnsiTheme="minorHAnsi"/>
        </w:rPr>
        <w:t>září</w:t>
      </w:r>
      <w:r w:rsidRPr="004A4457">
        <w:rPr>
          <w:rFonts w:asciiTheme="minorHAnsi" w:hAnsiTheme="minorHAnsi"/>
        </w:rPr>
        <w:t xml:space="preserve"> 2023 o</w:t>
      </w:r>
      <w:r w:rsidR="00CF2351" w:rsidRPr="004A4457">
        <w:rPr>
          <w:rFonts w:asciiTheme="minorHAnsi" w:hAnsiTheme="minorHAnsi"/>
        </w:rPr>
        <w:t> </w:t>
      </w:r>
      <w:r w:rsidRPr="004A4457">
        <w:rPr>
          <w:rFonts w:asciiTheme="minorHAnsi" w:hAnsiTheme="minorHAnsi"/>
        </w:rPr>
        <w:t>zavádění infrastruktury pro alternativní paliva (AFIR) a</w:t>
      </w:r>
      <w:r w:rsidR="00CF2351" w:rsidRPr="004A4457">
        <w:rPr>
          <w:rFonts w:asciiTheme="minorHAnsi" w:hAnsiTheme="minorHAnsi"/>
        </w:rPr>
        <w:t> </w:t>
      </w:r>
      <w:r w:rsidRPr="004A4457">
        <w:rPr>
          <w:rFonts w:asciiTheme="minorHAnsi" w:hAnsiTheme="minorHAnsi"/>
        </w:rPr>
        <w:t>o zrušení směrnice 2014/94/EU (AFID)</w:t>
      </w:r>
    </w:p>
    <w:p w14:paraId="7BB9778C" w14:textId="400246DD" w:rsidR="005F73AF" w:rsidRPr="004A4457" w:rsidRDefault="005F73AF" w:rsidP="004A4457">
      <w:pPr>
        <w:pStyle w:val="Bullet1"/>
        <w:spacing w:line="276" w:lineRule="auto"/>
        <w:jc w:val="both"/>
        <w:rPr>
          <w:rFonts w:asciiTheme="minorHAnsi" w:hAnsiTheme="minorHAnsi"/>
        </w:rPr>
      </w:pPr>
      <w:r w:rsidRPr="004A4457">
        <w:rPr>
          <w:rFonts w:asciiTheme="minorHAnsi" w:hAnsiTheme="minorHAnsi"/>
        </w:rPr>
        <w:t>Nařízení Evropského Parlamentu a</w:t>
      </w:r>
      <w:r w:rsidR="00CF2351" w:rsidRPr="004A4457">
        <w:rPr>
          <w:rFonts w:asciiTheme="minorHAnsi" w:hAnsiTheme="minorHAnsi"/>
        </w:rPr>
        <w:t> </w:t>
      </w:r>
      <w:r w:rsidRPr="004A4457">
        <w:rPr>
          <w:rFonts w:asciiTheme="minorHAnsi" w:hAnsiTheme="minorHAnsi"/>
        </w:rPr>
        <w:t>Rady (EU) č. 2023/851 – stanovení výkonnostních norem pro emise CO</w:t>
      </w:r>
      <w:r w:rsidRPr="004A4457">
        <w:rPr>
          <w:rFonts w:asciiTheme="minorHAnsi" w:hAnsiTheme="minorHAnsi"/>
          <w:vertAlign w:val="subscript"/>
        </w:rPr>
        <w:t>2</w:t>
      </w:r>
      <w:r w:rsidRPr="004A4457">
        <w:rPr>
          <w:rFonts w:asciiTheme="minorHAnsi" w:hAnsiTheme="minorHAnsi"/>
        </w:rPr>
        <w:t xml:space="preserve"> pro nové osobní automobily a</w:t>
      </w:r>
      <w:r w:rsidR="00CF2351" w:rsidRPr="004A4457">
        <w:rPr>
          <w:rFonts w:asciiTheme="minorHAnsi" w:hAnsiTheme="minorHAnsi"/>
        </w:rPr>
        <w:t> </w:t>
      </w:r>
      <w:r w:rsidRPr="004A4457">
        <w:rPr>
          <w:rFonts w:asciiTheme="minorHAnsi" w:hAnsiTheme="minorHAnsi"/>
        </w:rPr>
        <w:t>nová lehká užitková vozidla. Nově nařízení požaduje, aby byly roční průměrné emise CO</w:t>
      </w:r>
      <w:r w:rsidRPr="004A4457">
        <w:rPr>
          <w:rFonts w:asciiTheme="minorHAnsi" w:hAnsiTheme="minorHAnsi"/>
          <w:vertAlign w:val="subscript"/>
        </w:rPr>
        <w:t>2</w:t>
      </w:r>
      <w:r w:rsidRPr="004A4457">
        <w:rPr>
          <w:rFonts w:asciiTheme="minorHAnsi" w:hAnsiTheme="minorHAnsi"/>
        </w:rPr>
        <w:t xml:space="preserve"> vozového parku EU u</w:t>
      </w:r>
      <w:r w:rsidR="00CF2351" w:rsidRPr="004A4457">
        <w:rPr>
          <w:rFonts w:asciiTheme="minorHAnsi" w:hAnsiTheme="minorHAnsi"/>
        </w:rPr>
        <w:t> </w:t>
      </w:r>
      <w:r w:rsidRPr="004A4457">
        <w:rPr>
          <w:rFonts w:asciiTheme="minorHAnsi" w:hAnsiTheme="minorHAnsi"/>
        </w:rPr>
        <w:t>nových automobilů a</w:t>
      </w:r>
      <w:r w:rsidR="00CF2351" w:rsidRPr="004A4457">
        <w:rPr>
          <w:rFonts w:asciiTheme="minorHAnsi" w:hAnsiTheme="minorHAnsi"/>
        </w:rPr>
        <w:t> </w:t>
      </w:r>
      <w:r w:rsidRPr="004A4457">
        <w:rPr>
          <w:rFonts w:asciiTheme="minorHAnsi" w:hAnsiTheme="minorHAnsi"/>
        </w:rPr>
        <w:t>dodávek oproti roku 2021 sníženy o:</w:t>
      </w:r>
    </w:p>
    <w:p w14:paraId="152C40EE" w14:textId="7664F2CB" w:rsidR="005F73AF" w:rsidRPr="004A4457" w:rsidRDefault="005F73AF" w:rsidP="004A4457">
      <w:pPr>
        <w:pStyle w:val="Bullet2"/>
        <w:spacing w:line="276" w:lineRule="auto"/>
        <w:jc w:val="both"/>
        <w:rPr>
          <w:rFonts w:asciiTheme="minorHAnsi" w:hAnsiTheme="minorHAnsi"/>
        </w:rPr>
      </w:pPr>
      <w:r w:rsidRPr="004A4457">
        <w:rPr>
          <w:rFonts w:asciiTheme="minorHAnsi" w:hAnsiTheme="minorHAnsi"/>
        </w:rPr>
        <w:t>15 % pro období 2025–2029 pro nové automobily a</w:t>
      </w:r>
      <w:r w:rsidR="00CF2351" w:rsidRPr="004A4457">
        <w:rPr>
          <w:rFonts w:asciiTheme="minorHAnsi" w:hAnsiTheme="minorHAnsi"/>
        </w:rPr>
        <w:t> </w:t>
      </w:r>
      <w:r w:rsidRPr="004A4457">
        <w:rPr>
          <w:rFonts w:asciiTheme="minorHAnsi" w:hAnsiTheme="minorHAnsi"/>
        </w:rPr>
        <w:t>pro nové dodávky,</w:t>
      </w:r>
    </w:p>
    <w:p w14:paraId="5DC3A2BB" w14:textId="77070E89" w:rsidR="005F73AF" w:rsidRPr="004A4457" w:rsidRDefault="005F73AF" w:rsidP="004A4457">
      <w:pPr>
        <w:pStyle w:val="Bullet2"/>
        <w:spacing w:line="276" w:lineRule="auto"/>
        <w:jc w:val="both"/>
        <w:rPr>
          <w:rFonts w:asciiTheme="minorHAnsi" w:hAnsiTheme="minorHAnsi"/>
        </w:rPr>
      </w:pPr>
      <w:r w:rsidRPr="004A4457">
        <w:rPr>
          <w:rFonts w:asciiTheme="minorHAnsi" w:hAnsiTheme="minorHAnsi"/>
        </w:rPr>
        <w:t>55 % pro nové automobily a</w:t>
      </w:r>
      <w:r w:rsidR="00CF2351" w:rsidRPr="004A4457">
        <w:rPr>
          <w:rFonts w:asciiTheme="minorHAnsi" w:hAnsiTheme="minorHAnsi"/>
        </w:rPr>
        <w:t> </w:t>
      </w:r>
      <w:r w:rsidRPr="004A4457">
        <w:rPr>
          <w:rFonts w:asciiTheme="minorHAnsi" w:hAnsiTheme="minorHAnsi"/>
        </w:rPr>
        <w:t>50 % pro nové dodávky počínaje rokem 2030,</w:t>
      </w:r>
    </w:p>
    <w:p w14:paraId="3546C995" w14:textId="0D16421A" w:rsidR="005F73AF" w:rsidRPr="004A4457" w:rsidRDefault="005F73AF" w:rsidP="004A4457">
      <w:pPr>
        <w:pStyle w:val="Bullet2"/>
        <w:spacing w:line="276" w:lineRule="auto"/>
        <w:jc w:val="both"/>
        <w:rPr>
          <w:rFonts w:asciiTheme="minorHAnsi" w:hAnsiTheme="minorHAnsi"/>
        </w:rPr>
      </w:pPr>
      <w:r w:rsidRPr="004A4457">
        <w:rPr>
          <w:rFonts w:asciiTheme="minorHAnsi" w:hAnsiTheme="minorHAnsi"/>
        </w:rPr>
        <w:t>100 % pro nové automobily a</w:t>
      </w:r>
      <w:r w:rsidR="00CF2351" w:rsidRPr="004A4457">
        <w:rPr>
          <w:rFonts w:asciiTheme="minorHAnsi" w:hAnsiTheme="minorHAnsi"/>
        </w:rPr>
        <w:t> </w:t>
      </w:r>
      <w:r w:rsidRPr="004A4457">
        <w:rPr>
          <w:rFonts w:asciiTheme="minorHAnsi" w:hAnsiTheme="minorHAnsi"/>
        </w:rPr>
        <w:t xml:space="preserve">pro nové dodávky od roku 2035. </w:t>
      </w:r>
    </w:p>
    <w:p w14:paraId="77B03750" w14:textId="07E1B1A9" w:rsidR="005F73AF" w:rsidRPr="004A4457" w:rsidRDefault="00E2771B" w:rsidP="004A4457">
      <w:pPr>
        <w:pStyle w:val="Bullet2"/>
        <w:numPr>
          <w:ilvl w:val="0"/>
          <w:numId w:val="148"/>
        </w:numPr>
        <w:spacing w:line="276" w:lineRule="auto"/>
        <w:ind w:left="567" w:hanging="425"/>
        <w:jc w:val="both"/>
        <w:rPr>
          <w:rFonts w:asciiTheme="minorHAnsi" w:hAnsiTheme="minorHAnsi"/>
        </w:rPr>
      </w:pPr>
      <w:r w:rsidRPr="004A4457">
        <w:rPr>
          <w:rFonts w:asciiTheme="minorHAnsi" w:hAnsiTheme="minorHAnsi"/>
        </w:rPr>
        <w:t>Nařízení Komise v</w:t>
      </w:r>
      <w:r w:rsidR="00CF2351" w:rsidRPr="004A4457">
        <w:rPr>
          <w:rFonts w:asciiTheme="minorHAnsi" w:hAnsiTheme="minorHAnsi"/>
        </w:rPr>
        <w:t> </w:t>
      </w:r>
      <w:r w:rsidRPr="004A4457">
        <w:rPr>
          <w:rFonts w:asciiTheme="minorHAnsi" w:hAnsiTheme="minorHAnsi"/>
        </w:rPr>
        <w:t>přenesené pravomoci (EU) 2024/1127 ze dne 8. února 2024, kterým se doplňuje nařízení Evropského parlamentu a</w:t>
      </w:r>
      <w:r w:rsidR="00CF2351" w:rsidRPr="004A4457">
        <w:rPr>
          <w:rFonts w:asciiTheme="minorHAnsi" w:hAnsiTheme="minorHAnsi"/>
        </w:rPr>
        <w:t> </w:t>
      </w:r>
      <w:r w:rsidRPr="004A4457">
        <w:rPr>
          <w:rFonts w:asciiTheme="minorHAnsi" w:hAnsiTheme="minorHAnsi"/>
        </w:rPr>
        <w:t>Rady (EU) 2019/1242 stanovením hlavních zásad a</w:t>
      </w:r>
      <w:r w:rsidR="00CF2351" w:rsidRPr="004A4457">
        <w:rPr>
          <w:rFonts w:asciiTheme="minorHAnsi" w:hAnsiTheme="minorHAnsi"/>
        </w:rPr>
        <w:t> </w:t>
      </w:r>
      <w:r w:rsidRPr="004A4457">
        <w:rPr>
          <w:rFonts w:asciiTheme="minorHAnsi" w:hAnsiTheme="minorHAnsi"/>
        </w:rPr>
        <w:t>kritérií pro určení postupů ověřování hodnot emisí CO2 a</w:t>
      </w:r>
      <w:r w:rsidR="00CF2351" w:rsidRPr="004A4457">
        <w:rPr>
          <w:rFonts w:asciiTheme="minorHAnsi" w:hAnsiTheme="minorHAnsi"/>
        </w:rPr>
        <w:t> </w:t>
      </w:r>
      <w:r w:rsidRPr="004A4457">
        <w:rPr>
          <w:rFonts w:asciiTheme="minorHAnsi" w:hAnsiTheme="minorHAnsi"/>
        </w:rPr>
        <w:t>spotřeby paliva u</w:t>
      </w:r>
      <w:r w:rsidR="00CF2351" w:rsidRPr="004A4457">
        <w:rPr>
          <w:rFonts w:asciiTheme="minorHAnsi" w:hAnsiTheme="minorHAnsi"/>
        </w:rPr>
        <w:t> </w:t>
      </w:r>
      <w:r w:rsidRPr="004A4457">
        <w:rPr>
          <w:rFonts w:asciiTheme="minorHAnsi" w:hAnsiTheme="minorHAnsi"/>
        </w:rPr>
        <w:t>těžkých vozidel v</w:t>
      </w:r>
      <w:r w:rsidR="00CF2351" w:rsidRPr="004A4457">
        <w:rPr>
          <w:rFonts w:asciiTheme="minorHAnsi" w:hAnsiTheme="minorHAnsi"/>
        </w:rPr>
        <w:t> </w:t>
      </w:r>
      <w:r w:rsidRPr="004A4457">
        <w:rPr>
          <w:rFonts w:asciiTheme="minorHAnsi" w:hAnsiTheme="minorHAnsi"/>
        </w:rPr>
        <w:t>provozu (ověřování v</w:t>
      </w:r>
      <w:r w:rsidR="00CF2351" w:rsidRPr="004A4457">
        <w:rPr>
          <w:rFonts w:asciiTheme="minorHAnsi" w:hAnsiTheme="minorHAnsi"/>
        </w:rPr>
        <w:t> </w:t>
      </w:r>
      <w:r w:rsidRPr="004A4457">
        <w:rPr>
          <w:rFonts w:asciiTheme="minorHAnsi" w:hAnsiTheme="minorHAnsi"/>
        </w:rPr>
        <w:t xml:space="preserve">provozu). Zavádí </w:t>
      </w:r>
      <w:r w:rsidR="005F73AF" w:rsidRPr="004A4457">
        <w:rPr>
          <w:rFonts w:asciiTheme="minorHAnsi" w:hAnsiTheme="minorHAnsi"/>
        </w:rPr>
        <w:t>přísnější normy pro emise CO</w:t>
      </w:r>
      <w:r w:rsidR="005F73AF" w:rsidRPr="004A4457">
        <w:rPr>
          <w:rFonts w:asciiTheme="minorHAnsi" w:hAnsiTheme="minorHAnsi"/>
          <w:vertAlign w:val="subscript"/>
        </w:rPr>
        <w:t>2</w:t>
      </w:r>
      <w:r w:rsidR="005F73AF" w:rsidRPr="004A4457">
        <w:rPr>
          <w:rFonts w:asciiTheme="minorHAnsi" w:hAnsiTheme="minorHAnsi"/>
        </w:rPr>
        <w:t xml:space="preserve"> pro téměř všechna nová těžká užitková vozidla s</w:t>
      </w:r>
      <w:r w:rsidR="00CF2351" w:rsidRPr="004A4457">
        <w:rPr>
          <w:rFonts w:asciiTheme="minorHAnsi" w:hAnsiTheme="minorHAnsi"/>
        </w:rPr>
        <w:t> </w:t>
      </w:r>
      <w:r w:rsidR="005F73AF" w:rsidRPr="004A4457">
        <w:rPr>
          <w:rFonts w:asciiTheme="minorHAnsi" w:hAnsiTheme="minorHAnsi"/>
        </w:rPr>
        <w:t>certifikovanými emisemi CO</w:t>
      </w:r>
      <w:r w:rsidR="005F73AF" w:rsidRPr="004A4457">
        <w:rPr>
          <w:rFonts w:asciiTheme="minorHAnsi" w:hAnsiTheme="minorHAnsi"/>
          <w:vertAlign w:val="subscript"/>
        </w:rPr>
        <w:t>2</w:t>
      </w:r>
      <w:r w:rsidR="005F73AF" w:rsidRPr="004A4457">
        <w:rPr>
          <w:rFonts w:asciiTheme="minorHAnsi" w:hAnsiTheme="minorHAnsi"/>
        </w:rPr>
        <w:t>, a</w:t>
      </w:r>
      <w:r w:rsidR="00CF2351" w:rsidRPr="004A4457">
        <w:rPr>
          <w:rFonts w:asciiTheme="minorHAnsi" w:hAnsiTheme="minorHAnsi"/>
        </w:rPr>
        <w:t> </w:t>
      </w:r>
      <w:r w:rsidR="005F73AF" w:rsidRPr="004A4457">
        <w:rPr>
          <w:rFonts w:asciiTheme="minorHAnsi" w:hAnsiTheme="minorHAnsi"/>
        </w:rPr>
        <w:t>to následovně (ve srovnání s</w:t>
      </w:r>
      <w:r w:rsidR="00CF2351" w:rsidRPr="004A4457">
        <w:rPr>
          <w:rFonts w:asciiTheme="minorHAnsi" w:hAnsiTheme="minorHAnsi"/>
        </w:rPr>
        <w:t> </w:t>
      </w:r>
      <w:r w:rsidR="005F73AF" w:rsidRPr="004A4457">
        <w:rPr>
          <w:rFonts w:asciiTheme="minorHAnsi" w:hAnsiTheme="minorHAnsi"/>
        </w:rPr>
        <w:t>úrovněmi v</w:t>
      </w:r>
      <w:r w:rsidR="00CF2351" w:rsidRPr="004A4457">
        <w:rPr>
          <w:rFonts w:asciiTheme="minorHAnsi" w:hAnsiTheme="minorHAnsi"/>
        </w:rPr>
        <w:t> </w:t>
      </w:r>
      <w:r w:rsidR="005F73AF" w:rsidRPr="004A4457">
        <w:rPr>
          <w:rFonts w:asciiTheme="minorHAnsi" w:hAnsiTheme="minorHAnsi"/>
        </w:rPr>
        <w:t>roce 2019):</w:t>
      </w:r>
    </w:p>
    <w:p w14:paraId="571C6607" w14:textId="7DC8CC67" w:rsidR="00E2771B" w:rsidRPr="004A4457" w:rsidRDefault="00E2771B" w:rsidP="004A4457">
      <w:pPr>
        <w:pStyle w:val="Bullet2"/>
        <w:spacing w:line="276" w:lineRule="auto"/>
        <w:jc w:val="both"/>
        <w:rPr>
          <w:rFonts w:asciiTheme="minorHAnsi" w:hAnsiTheme="minorHAnsi"/>
        </w:rPr>
      </w:pPr>
      <w:r w:rsidRPr="004A4457">
        <w:rPr>
          <w:rFonts w:asciiTheme="minorHAnsi" w:hAnsiTheme="minorHAnsi"/>
        </w:rPr>
        <w:t xml:space="preserve"> 15 % pro podskupiny vozidel 4-UD, 4-RD, 4-LH, 5-RD, 5-LH, 9-RD, 9-LH, 10-RD a</w:t>
      </w:r>
      <w:r w:rsidR="00CF2351" w:rsidRPr="004A4457">
        <w:rPr>
          <w:rFonts w:asciiTheme="minorHAnsi" w:hAnsiTheme="minorHAnsi"/>
        </w:rPr>
        <w:t> </w:t>
      </w:r>
      <w:r w:rsidRPr="004A4457">
        <w:rPr>
          <w:rFonts w:asciiTheme="minorHAnsi" w:hAnsiTheme="minorHAnsi"/>
        </w:rPr>
        <w:t>10-LH za vykazovaná období let 2025 až 2029;</w:t>
      </w:r>
    </w:p>
    <w:p w14:paraId="63CBA026" w14:textId="77777777" w:rsidR="00E2771B" w:rsidRPr="004A4457" w:rsidRDefault="00E2771B" w:rsidP="004A4457">
      <w:pPr>
        <w:pStyle w:val="Bullet2"/>
        <w:spacing w:line="276" w:lineRule="auto"/>
        <w:jc w:val="both"/>
        <w:rPr>
          <w:rFonts w:asciiTheme="minorHAnsi" w:hAnsiTheme="minorHAnsi"/>
        </w:rPr>
      </w:pPr>
      <w:r w:rsidRPr="004A4457">
        <w:rPr>
          <w:rFonts w:asciiTheme="minorHAnsi" w:hAnsiTheme="minorHAnsi"/>
        </w:rPr>
        <w:t>45 % pro všechny podskupiny vozidel jiných než účelových vozidel za vykazovaná období let 2030 až 2034;</w:t>
      </w:r>
    </w:p>
    <w:p w14:paraId="4375376D" w14:textId="77777777" w:rsidR="00E2771B" w:rsidRPr="004A4457" w:rsidRDefault="00E2771B" w:rsidP="004A4457">
      <w:pPr>
        <w:pStyle w:val="Bullet2"/>
        <w:spacing w:line="276" w:lineRule="auto"/>
        <w:jc w:val="both"/>
        <w:rPr>
          <w:rFonts w:asciiTheme="minorHAnsi" w:hAnsiTheme="minorHAnsi"/>
        </w:rPr>
      </w:pPr>
      <w:r w:rsidRPr="004A4457">
        <w:rPr>
          <w:rFonts w:asciiTheme="minorHAnsi" w:hAnsiTheme="minorHAnsi"/>
        </w:rPr>
        <w:t>65 % pro všechny podskupiny vozidel za vykazovaná období let 2035 až 2039;</w:t>
      </w:r>
    </w:p>
    <w:p w14:paraId="57207E91" w14:textId="2FA3C73C" w:rsidR="005F73AF" w:rsidRPr="004A4457" w:rsidRDefault="00E2771B" w:rsidP="004A4457">
      <w:pPr>
        <w:pStyle w:val="Bullet2"/>
        <w:spacing w:line="276" w:lineRule="auto"/>
        <w:jc w:val="both"/>
        <w:rPr>
          <w:rFonts w:asciiTheme="minorHAnsi" w:hAnsiTheme="minorHAnsi"/>
        </w:rPr>
      </w:pPr>
      <w:r w:rsidRPr="004A4457">
        <w:rPr>
          <w:rFonts w:asciiTheme="minorHAnsi" w:hAnsiTheme="minorHAnsi"/>
        </w:rPr>
        <w:t>90 % pro všechny podskupiny vozidel za vykazovaná období od roku 2040.</w:t>
      </w:r>
    </w:p>
    <w:p w14:paraId="14A46D2D" w14:textId="4068D30A" w:rsidR="005F73AF" w:rsidRPr="004A4457" w:rsidRDefault="005F73AF" w:rsidP="004A4457">
      <w:pPr>
        <w:pStyle w:val="Bullet2"/>
        <w:numPr>
          <w:ilvl w:val="0"/>
          <w:numId w:val="0"/>
        </w:numPr>
        <w:spacing w:line="276" w:lineRule="auto"/>
        <w:jc w:val="both"/>
        <w:rPr>
          <w:rFonts w:asciiTheme="minorHAnsi" w:hAnsiTheme="minorHAnsi"/>
        </w:rPr>
      </w:pPr>
      <w:r w:rsidRPr="004A4457">
        <w:rPr>
          <w:rFonts w:asciiTheme="minorHAnsi" w:hAnsiTheme="minorHAnsi"/>
        </w:rPr>
        <w:t>Komise rovněž navrhuje, aby byly od roku 203</w:t>
      </w:r>
      <w:r w:rsidR="00E36ADE" w:rsidRPr="004A4457">
        <w:rPr>
          <w:rFonts w:asciiTheme="minorHAnsi" w:hAnsiTheme="minorHAnsi"/>
        </w:rPr>
        <w:t>5</w:t>
      </w:r>
      <w:r w:rsidRPr="004A4457">
        <w:rPr>
          <w:rFonts w:asciiTheme="minorHAnsi" w:hAnsiTheme="minorHAnsi"/>
        </w:rPr>
        <w:t xml:space="preserve"> bezemisní všechny nově registrované městské autobusy. Z</w:t>
      </w:r>
      <w:r w:rsidR="00CF2351" w:rsidRPr="004A4457">
        <w:rPr>
          <w:rFonts w:asciiTheme="minorHAnsi" w:hAnsiTheme="minorHAnsi"/>
        </w:rPr>
        <w:t> </w:t>
      </w:r>
      <w:r w:rsidRPr="004A4457">
        <w:rPr>
          <w:rFonts w:asciiTheme="minorHAnsi" w:hAnsiTheme="minorHAnsi"/>
        </w:rPr>
        <w:t>nařízení mají výjimku např. malovýrobci do 100 ks vozidel, vozidla využívaná k</w:t>
      </w:r>
      <w:r w:rsidR="00CF2351" w:rsidRPr="004A4457">
        <w:rPr>
          <w:rFonts w:asciiTheme="minorHAnsi" w:hAnsiTheme="minorHAnsi"/>
        </w:rPr>
        <w:t> </w:t>
      </w:r>
      <w:r w:rsidRPr="004A4457">
        <w:rPr>
          <w:rFonts w:asciiTheme="minorHAnsi" w:hAnsiTheme="minorHAnsi"/>
        </w:rPr>
        <w:t>těžebním, lesnickým a</w:t>
      </w:r>
      <w:r w:rsidR="00CF2351" w:rsidRPr="004A4457">
        <w:rPr>
          <w:rFonts w:asciiTheme="minorHAnsi" w:hAnsiTheme="minorHAnsi"/>
        </w:rPr>
        <w:t> </w:t>
      </w:r>
      <w:r w:rsidRPr="004A4457">
        <w:rPr>
          <w:rFonts w:asciiTheme="minorHAnsi" w:hAnsiTheme="minorHAnsi"/>
        </w:rPr>
        <w:t xml:space="preserve">zemědělským účelům, vozidla pro ozbrojené složky. </w:t>
      </w:r>
    </w:p>
    <w:p w14:paraId="02FD0B6D" w14:textId="1B0222D1" w:rsidR="003B643D" w:rsidRPr="004A4457" w:rsidRDefault="003B643D" w:rsidP="004A4457">
      <w:pPr>
        <w:pStyle w:val="Bullet2"/>
        <w:numPr>
          <w:ilvl w:val="0"/>
          <w:numId w:val="148"/>
        </w:numPr>
        <w:spacing w:line="276" w:lineRule="auto"/>
        <w:ind w:left="567" w:hanging="425"/>
        <w:jc w:val="both"/>
        <w:rPr>
          <w:rFonts w:asciiTheme="minorHAnsi" w:hAnsiTheme="minorHAnsi"/>
        </w:rPr>
      </w:pPr>
      <w:r w:rsidRPr="004A4457">
        <w:rPr>
          <w:rFonts w:asciiTheme="minorHAnsi" w:hAnsiTheme="minorHAnsi"/>
        </w:rPr>
        <w:t>Směrnice Evropského parlamentu a</w:t>
      </w:r>
      <w:r w:rsidR="00CF2351" w:rsidRPr="004A4457">
        <w:rPr>
          <w:rFonts w:asciiTheme="minorHAnsi" w:hAnsiTheme="minorHAnsi"/>
        </w:rPr>
        <w:t> </w:t>
      </w:r>
      <w:r w:rsidRPr="004A4457">
        <w:rPr>
          <w:rFonts w:asciiTheme="minorHAnsi" w:hAnsiTheme="minorHAnsi"/>
        </w:rPr>
        <w:t>Rady (EU) 2023/2413 (RED III) stanovuje požadavek dosažení 29% podílu OZE na konečné spotřebě energie v</w:t>
      </w:r>
      <w:r w:rsidR="00CF2351" w:rsidRPr="004A4457">
        <w:rPr>
          <w:rFonts w:asciiTheme="minorHAnsi" w:hAnsiTheme="minorHAnsi"/>
        </w:rPr>
        <w:t> </w:t>
      </w:r>
      <w:r w:rsidRPr="004A4457">
        <w:rPr>
          <w:rFonts w:asciiTheme="minorHAnsi" w:hAnsiTheme="minorHAnsi"/>
        </w:rPr>
        <w:t>dopravě do roku 2030 nebo snížení emisní intenzity paliv alespoň o</w:t>
      </w:r>
      <w:r w:rsidR="00CF2351" w:rsidRPr="004A4457">
        <w:rPr>
          <w:rFonts w:asciiTheme="minorHAnsi" w:hAnsiTheme="minorHAnsi"/>
        </w:rPr>
        <w:t> </w:t>
      </w:r>
      <w:r w:rsidRPr="004A4457">
        <w:rPr>
          <w:rFonts w:asciiTheme="minorHAnsi" w:hAnsiTheme="minorHAnsi"/>
        </w:rPr>
        <w:t>14,5 % ve srovnání se základní úrovní stanovenou dle metodiky směrnice, tj. při využití fosilních paliv. Uvedených cílů má být dosaženo prostřednictvím dodávky obnovitelných (udržitelných paliv) a</w:t>
      </w:r>
      <w:r w:rsidR="00CF2351" w:rsidRPr="004A4457">
        <w:rPr>
          <w:rFonts w:asciiTheme="minorHAnsi" w:hAnsiTheme="minorHAnsi"/>
        </w:rPr>
        <w:t> </w:t>
      </w:r>
      <w:r w:rsidRPr="004A4457">
        <w:rPr>
          <w:rFonts w:asciiTheme="minorHAnsi" w:hAnsiTheme="minorHAnsi"/>
        </w:rPr>
        <w:t>elektřinou z</w:t>
      </w:r>
      <w:r w:rsidR="00CF2351" w:rsidRPr="004A4457">
        <w:rPr>
          <w:rFonts w:asciiTheme="minorHAnsi" w:hAnsiTheme="minorHAnsi"/>
        </w:rPr>
        <w:t> </w:t>
      </w:r>
      <w:r w:rsidRPr="004A4457">
        <w:rPr>
          <w:rFonts w:asciiTheme="minorHAnsi" w:hAnsiTheme="minorHAnsi"/>
        </w:rPr>
        <w:t xml:space="preserve">obnovitelných zdrojů. </w:t>
      </w:r>
    </w:p>
    <w:p w14:paraId="40AC114A" w14:textId="24DC840D" w:rsidR="003B643D" w:rsidRPr="004A4457" w:rsidRDefault="003B643D" w:rsidP="004A4457">
      <w:pPr>
        <w:pStyle w:val="Bullet2"/>
        <w:numPr>
          <w:ilvl w:val="0"/>
          <w:numId w:val="148"/>
        </w:numPr>
        <w:spacing w:line="276" w:lineRule="auto"/>
        <w:ind w:left="567" w:hanging="425"/>
        <w:jc w:val="both"/>
        <w:rPr>
          <w:rFonts w:asciiTheme="minorHAnsi" w:hAnsiTheme="minorHAnsi"/>
        </w:rPr>
      </w:pPr>
      <w:r w:rsidRPr="004A4457">
        <w:rPr>
          <w:rFonts w:asciiTheme="minorHAnsi" w:hAnsiTheme="minorHAnsi"/>
        </w:rPr>
        <w:lastRenderedPageBreak/>
        <w:t>Nařízení Evropského parlamentu a</w:t>
      </w:r>
      <w:r w:rsidR="00CF2351" w:rsidRPr="004A4457">
        <w:rPr>
          <w:rFonts w:asciiTheme="minorHAnsi" w:hAnsiTheme="minorHAnsi"/>
        </w:rPr>
        <w:t> </w:t>
      </w:r>
      <w:r w:rsidRPr="004A4457">
        <w:rPr>
          <w:rFonts w:asciiTheme="minorHAnsi" w:hAnsiTheme="minorHAnsi"/>
        </w:rPr>
        <w:t>Rady (EU) 2023/857 (ESR) stanovuje cíle pro snižování emisí skleníkových plynů mimo systém EU ETS, kam kromě dopravy spadají i</w:t>
      </w:r>
      <w:r w:rsidR="00CF2351" w:rsidRPr="004A4457">
        <w:rPr>
          <w:rFonts w:asciiTheme="minorHAnsi" w:hAnsiTheme="minorHAnsi"/>
        </w:rPr>
        <w:t> </w:t>
      </w:r>
      <w:r w:rsidRPr="004A4457">
        <w:rPr>
          <w:rFonts w:asciiTheme="minorHAnsi" w:hAnsiTheme="minorHAnsi"/>
        </w:rPr>
        <w:t>emise z</w:t>
      </w:r>
      <w:r w:rsidR="00CF2351" w:rsidRPr="004A4457">
        <w:rPr>
          <w:rFonts w:asciiTheme="minorHAnsi" w:hAnsiTheme="minorHAnsi"/>
        </w:rPr>
        <w:t> </w:t>
      </w:r>
      <w:r w:rsidRPr="004A4457">
        <w:rPr>
          <w:rFonts w:asciiTheme="minorHAnsi" w:hAnsiTheme="minorHAnsi"/>
        </w:rPr>
        <w:t>budov, zemědělství, odpadů a</w:t>
      </w:r>
      <w:r w:rsidR="00CF2351" w:rsidRPr="004A4457">
        <w:rPr>
          <w:rFonts w:asciiTheme="minorHAnsi" w:hAnsiTheme="minorHAnsi"/>
        </w:rPr>
        <w:t> </w:t>
      </w:r>
      <w:r w:rsidRPr="004A4457">
        <w:rPr>
          <w:rFonts w:asciiTheme="minorHAnsi" w:hAnsiTheme="minorHAnsi"/>
        </w:rPr>
        <w:t>části průmyslu a</w:t>
      </w:r>
      <w:r w:rsidR="00CF2351" w:rsidRPr="004A4457">
        <w:rPr>
          <w:rFonts w:asciiTheme="minorHAnsi" w:hAnsiTheme="minorHAnsi"/>
        </w:rPr>
        <w:t> </w:t>
      </w:r>
      <w:r w:rsidRPr="004A4457">
        <w:rPr>
          <w:rFonts w:asciiTheme="minorHAnsi" w:hAnsiTheme="minorHAnsi"/>
        </w:rPr>
        <w:t>energetiky mimo ETS. Pro Česko je cílem pokles těchto emisí o</w:t>
      </w:r>
      <w:r w:rsidR="00CF2351" w:rsidRPr="004A4457">
        <w:rPr>
          <w:rFonts w:asciiTheme="minorHAnsi" w:hAnsiTheme="minorHAnsi"/>
        </w:rPr>
        <w:t> </w:t>
      </w:r>
      <w:r w:rsidRPr="004A4457">
        <w:rPr>
          <w:rFonts w:asciiTheme="minorHAnsi" w:hAnsiTheme="minorHAnsi"/>
        </w:rPr>
        <w:t>26 % do roku 2030 v</w:t>
      </w:r>
      <w:r w:rsidR="00CF2351" w:rsidRPr="004A4457">
        <w:rPr>
          <w:rFonts w:asciiTheme="minorHAnsi" w:hAnsiTheme="minorHAnsi"/>
        </w:rPr>
        <w:t> </w:t>
      </w:r>
      <w:r w:rsidRPr="004A4457">
        <w:rPr>
          <w:rFonts w:asciiTheme="minorHAnsi" w:hAnsiTheme="minorHAnsi"/>
        </w:rPr>
        <w:t>porovnání s</w:t>
      </w:r>
      <w:r w:rsidR="00CF2351" w:rsidRPr="004A4457">
        <w:rPr>
          <w:rFonts w:asciiTheme="minorHAnsi" w:hAnsiTheme="minorHAnsi"/>
        </w:rPr>
        <w:t> </w:t>
      </w:r>
      <w:r w:rsidRPr="004A4457">
        <w:rPr>
          <w:rFonts w:asciiTheme="minorHAnsi" w:hAnsiTheme="minorHAnsi"/>
        </w:rPr>
        <w:t>referenční úrovní emisí v</w:t>
      </w:r>
      <w:r w:rsidR="00CF2351" w:rsidRPr="004A4457">
        <w:rPr>
          <w:rFonts w:asciiTheme="minorHAnsi" w:hAnsiTheme="minorHAnsi"/>
        </w:rPr>
        <w:t> </w:t>
      </w:r>
      <w:r w:rsidRPr="004A4457">
        <w:rPr>
          <w:rFonts w:asciiTheme="minorHAnsi" w:hAnsiTheme="minorHAnsi"/>
        </w:rPr>
        <w:t>roce 2005, celá EU má za cíl ještě ambicióznější pokles o</w:t>
      </w:r>
      <w:r w:rsidR="00CF2351" w:rsidRPr="004A4457">
        <w:rPr>
          <w:rFonts w:asciiTheme="minorHAnsi" w:hAnsiTheme="minorHAnsi"/>
        </w:rPr>
        <w:t> </w:t>
      </w:r>
      <w:r w:rsidRPr="004A4457">
        <w:rPr>
          <w:rFonts w:asciiTheme="minorHAnsi" w:hAnsiTheme="minorHAnsi"/>
        </w:rPr>
        <w:t>40 %.</w:t>
      </w:r>
    </w:p>
    <w:p w14:paraId="242022AC" w14:textId="083A3D82" w:rsidR="003B643D" w:rsidRPr="004A4457" w:rsidRDefault="003B643D" w:rsidP="004A4457">
      <w:pPr>
        <w:pStyle w:val="Bullet2"/>
        <w:numPr>
          <w:ilvl w:val="0"/>
          <w:numId w:val="148"/>
        </w:numPr>
        <w:spacing w:line="276" w:lineRule="auto"/>
        <w:ind w:left="567" w:hanging="425"/>
        <w:jc w:val="both"/>
        <w:rPr>
          <w:rFonts w:asciiTheme="minorHAnsi" w:hAnsiTheme="minorHAnsi"/>
        </w:rPr>
      </w:pPr>
      <w:r w:rsidRPr="004A4457">
        <w:rPr>
          <w:rFonts w:asciiTheme="minorHAnsi" w:hAnsiTheme="minorHAnsi"/>
        </w:rPr>
        <w:t>Od roku 2027 dojde ke spuštění nového systému obchodování s</w:t>
      </w:r>
      <w:r w:rsidR="00CF2351" w:rsidRPr="004A4457">
        <w:rPr>
          <w:rFonts w:asciiTheme="minorHAnsi" w:hAnsiTheme="minorHAnsi"/>
        </w:rPr>
        <w:t> </w:t>
      </w:r>
      <w:r w:rsidRPr="004A4457">
        <w:rPr>
          <w:rFonts w:asciiTheme="minorHAnsi" w:hAnsiTheme="minorHAnsi"/>
        </w:rPr>
        <w:t xml:space="preserve">emisními povolenkami EU ETS 2, který bude pokrývat zejména distribuci paliv pro sektory </w:t>
      </w:r>
      <w:r w:rsidR="00F43AE4" w:rsidRPr="004A4457">
        <w:rPr>
          <w:rFonts w:asciiTheme="minorHAnsi" w:hAnsiTheme="minorHAnsi"/>
        </w:rPr>
        <w:t>silniční</w:t>
      </w:r>
      <w:r w:rsidRPr="004A4457">
        <w:rPr>
          <w:rFonts w:asciiTheme="minorHAnsi" w:hAnsiTheme="minorHAnsi"/>
        </w:rPr>
        <w:t xml:space="preserve"> dopravy a</w:t>
      </w:r>
      <w:r w:rsidR="00CF2351" w:rsidRPr="004A4457">
        <w:rPr>
          <w:rFonts w:asciiTheme="minorHAnsi" w:hAnsiTheme="minorHAnsi"/>
        </w:rPr>
        <w:t> </w:t>
      </w:r>
      <w:r w:rsidRPr="004A4457">
        <w:rPr>
          <w:rFonts w:asciiTheme="minorHAnsi" w:hAnsiTheme="minorHAnsi"/>
        </w:rPr>
        <w:t>budov. Zde je podobně jako u</w:t>
      </w:r>
      <w:r w:rsidR="00CF2351" w:rsidRPr="004A4457">
        <w:rPr>
          <w:rFonts w:asciiTheme="minorHAnsi" w:hAnsiTheme="minorHAnsi"/>
        </w:rPr>
        <w:t> </w:t>
      </w:r>
      <w:r w:rsidRPr="004A4457">
        <w:rPr>
          <w:rFonts w:asciiTheme="minorHAnsi" w:hAnsiTheme="minorHAnsi"/>
        </w:rPr>
        <w:t>EU ETS 1 společný unijní cíl, a</w:t>
      </w:r>
      <w:r w:rsidR="00CF2351" w:rsidRPr="004A4457">
        <w:rPr>
          <w:rFonts w:asciiTheme="minorHAnsi" w:hAnsiTheme="minorHAnsi"/>
        </w:rPr>
        <w:t> </w:t>
      </w:r>
      <w:r w:rsidRPr="004A4457">
        <w:rPr>
          <w:rFonts w:asciiTheme="minorHAnsi" w:hAnsiTheme="minorHAnsi"/>
        </w:rPr>
        <w:t>to pokles o</w:t>
      </w:r>
      <w:r w:rsidR="00CF2351" w:rsidRPr="004A4457">
        <w:rPr>
          <w:rFonts w:asciiTheme="minorHAnsi" w:hAnsiTheme="minorHAnsi"/>
        </w:rPr>
        <w:t> </w:t>
      </w:r>
      <w:r w:rsidRPr="004A4457">
        <w:rPr>
          <w:rFonts w:asciiTheme="minorHAnsi" w:hAnsiTheme="minorHAnsi"/>
        </w:rPr>
        <w:t>42 % do roku 2030, opět vztahující se k</w:t>
      </w:r>
      <w:r w:rsidR="00CF2351" w:rsidRPr="004A4457">
        <w:rPr>
          <w:rFonts w:asciiTheme="minorHAnsi" w:hAnsiTheme="minorHAnsi"/>
        </w:rPr>
        <w:t> </w:t>
      </w:r>
      <w:r w:rsidRPr="004A4457">
        <w:rPr>
          <w:rFonts w:asciiTheme="minorHAnsi" w:hAnsiTheme="minorHAnsi"/>
        </w:rPr>
        <w:t>roku 2005.</w:t>
      </w:r>
    </w:p>
    <w:p w14:paraId="659F022D" w14:textId="32DC70AC" w:rsidR="005F73AF" w:rsidRPr="004A4457" w:rsidRDefault="005F73AF" w:rsidP="004A4457">
      <w:pPr>
        <w:pStyle w:val="Bullet1"/>
        <w:spacing w:line="276" w:lineRule="auto"/>
        <w:jc w:val="both"/>
        <w:rPr>
          <w:rFonts w:asciiTheme="minorHAnsi" w:hAnsiTheme="minorHAnsi"/>
        </w:rPr>
      </w:pPr>
      <w:r w:rsidRPr="004A4457">
        <w:rPr>
          <w:rFonts w:asciiTheme="minorHAnsi" w:hAnsiTheme="minorHAnsi"/>
        </w:rPr>
        <w:t xml:space="preserve">Směrnice (EU) č. 2019/1161 ze dne 20. </w:t>
      </w:r>
      <w:r w:rsidR="00B93262" w:rsidRPr="004A4457">
        <w:rPr>
          <w:rFonts w:asciiTheme="minorHAnsi" w:hAnsiTheme="minorHAnsi"/>
        </w:rPr>
        <w:t>června</w:t>
      </w:r>
      <w:r w:rsidRPr="004A4457">
        <w:rPr>
          <w:rFonts w:asciiTheme="minorHAnsi" w:hAnsiTheme="minorHAnsi"/>
        </w:rPr>
        <w:t xml:space="preserve"> 2019, kterou se mění směrnice 2009/33/ES o</w:t>
      </w:r>
      <w:r w:rsidR="00CF2351" w:rsidRPr="004A4457">
        <w:rPr>
          <w:rFonts w:asciiTheme="minorHAnsi" w:hAnsiTheme="minorHAnsi"/>
        </w:rPr>
        <w:t> </w:t>
      </w:r>
      <w:r w:rsidRPr="004A4457">
        <w:rPr>
          <w:rFonts w:asciiTheme="minorHAnsi" w:hAnsiTheme="minorHAnsi"/>
        </w:rPr>
        <w:t>podpoře čistých a</w:t>
      </w:r>
      <w:r w:rsidR="00CF2351" w:rsidRPr="004A4457">
        <w:rPr>
          <w:rFonts w:asciiTheme="minorHAnsi" w:hAnsiTheme="minorHAnsi"/>
        </w:rPr>
        <w:t> </w:t>
      </w:r>
      <w:r w:rsidRPr="004A4457">
        <w:rPr>
          <w:rFonts w:asciiTheme="minorHAnsi" w:hAnsiTheme="minorHAnsi"/>
        </w:rPr>
        <w:t>energeticky účinných silničních vozidel. Byla zapracována do zákona č. 360/2022 Sb. o</w:t>
      </w:r>
      <w:r w:rsidR="00CF2351" w:rsidRPr="004A4457">
        <w:rPr>
          <w:rFonts w:asciiTheme="minorHAnsi" w:hAnsiTheme="minorHAnsi"/>
        </w:rPr>
        <w:t> </w:t>
      </w:r>
      <w:r w:rsidRPr="004A4457">
        <w:rPr>
          <w:rFonts w:asciiTheme="minorHAnsi" w:hAnsiTheme="minorHAnsi"/>
        </w:rPr>
        <w:t>podpoře nízkoemisních vozidel prostřednictvím zadávání veřejných zakázek a</w:t>
      </w:r>
      <w:r w:rsidR="00CF2351" w:rsidRPr="004A4457">
        <w:rPr>
          <w:rFonts w:asciiTheme="minorHAnsi" w:hAnsiTheme="minorHAnsi"/>
        </w:rPr>
        <w:t> </w:t>
      </w:r>
      <w:r w:rsidRPr="004A4457">
        <w:rPr>
          <w:rFonts w:asciiTheme="minorHAnsi" w:hAnsiTheme="minorHAnsi"/>
        </w:rPr>
        <w:t>veřejných služeb v</w:t>
      </w:r>
      <w:r w:rsidR="00CF2351" w:rsidRPr="004A4457">
        <w:rPr>
          <w:rFonts w:asciiTheme="minorHAnsi" w:hAnsiTheme="minorHAnsi"/>
        </w:rPr>
        <w:t> </w:t>
      </w:r>
      <w:r w:rsidRPr="004A4457">
        <w:rPr>
          <w:rFonts w:asciiTheme="minorHAnsi" w:hAnsiTheme="minorHAnsi"/>
        </w:rPr>
        <w:t>přepravě cestujících. Cílem této směrnice je zajistit na straně poptávky motivaci pro čistá vozidla za účelem podpory přechodu na nízkoemisní mobilitu. Po veřejných zadavatelích požaduje povinný podíl bez nebo nízkoemisních vozidel při pořizování nových vozidel v</w:t>
      </w:r>
      <w:r w:rsidR="00CF2351" w:rsidRPr="004A4457">
        <w:rPr>
          <w:rFonts w:asciiTheme="minorHAnsi" w:hAnsiTheme="minorHAnsi"/>
        </w:rPr>
        <w:t> </w:t>
      </w:r>
      <w:r w:rsidRPr="004A4457">
        <w:rPr>
          <w:rFonts w:asciiTheme="minorHAnsi" w:hAnsiTheme="minorHAnsi"/>
        </w:rPr>
        <w:t xml:space="preserve">rámci nadlimitních veřejných zakázek. </w:t>
      </w:r>
    </w:p>
    <w:p w14:paraId="20237614" w14:textId="0347C8C7" w:rsidR="005D72CF" w:rsidRPr="004A4457" w:rsidRDefault="0008084A" w:rsidP="004A4457">
      <w:pPr>
        <w:pStyle w:val="Bullet1"/>
        <w:spacing w:line="276" w:lineRule="auto"/>
        <w:jc w:val="both"/>
        <w:rPr>
          <w:rFonts w:asciiTheme="minorHAnsi" w:hAnsiTheme="minorHAnsi"/>
        </w:rPr>
      </w:pPr>
      <w:r w:rsidRPr="004A4457">
        <w:rPr>
          <w:rFonts w:asciiTheme="minorHAnsi" w:hAnsiTheme="minorHAnsi"/>
        </w:rPr>
        <w:t xml:space="preserve"> Směrnice Evropského parlamentu a</w:t>
      </w:r>
      <w:r w:rsidR="00CF2351" w:rsidRPr="004A4457">
        <w:rPr>
          <w:rFonts w:asciiTheme="minorHAnsi" w:hAnsiTheme="minorHAnsi"/>
        </w:rPr>
        <w:t> </w:t>
      </w:r>
      <w:r w:rsidRPr="004A4457">
        <w:rPr>
          <w:rFonts w:asciiTheme="minorHAnsi" w:hAnsiTheme="minorHAnsi"/>
        </w:rPr>
        <w:t>Rady (EU) 2024/1275 ze dne 24. dubna 2024 o</w:t>
      </w:r>
      <w:r w:rsidR="00CF2351" w:rsidRPr="004A4457">
        <w:rPr>
          <w:rFonts w:asciiTheme="minorHAnsi" w:hAnsiTheme="minorHAnsi"/>
        </w:rPr>
        <w:t> </w:t>
      </w:r>
      <w:r w:rsidRPr="004A4457">
        <w:rPr>
          <w:rFonts w:asciiTheme="minorHAnsi" w:hAnsiTheme="minorHAnsi"/>
        </w:rPr>
        <w:t>energetické náročnosti budov</w:t>
      </w:r>
      <w:r w:rsidR="005D72CF" w:rsidRPr="004A4457">
        <w:rPr>
          <w:rFonts w:asciiTheme="minorHAnsi" w:hAnsiTheme="minorHAnsi"/>
        </w:rPr>
        <w:t xml:space="preserve"> (EPBD). Stanovuje požadavky na instalaci dobíjecích stanic a</w:t>
      </w:r>
      <w:r w:rsidR="00CF2351" w:rsidRPr="004A4457">
        <w:rPr>
          <w:rFonts w:asciiTheme="minorHAnsi" w:hAnsiTheme="minorHAnsi"/>
        </w:rPr>
        <w:t> </w:t>
      </w:r>
      <w:r w:rsidR="005D72CF" w:rsidRPr="004A4457">
        <w:rPr>
          <w:rFonts w:asciiTheme="minorHAnsi" w:hAnsiTheme="minorHAnsi"/>
        </w:rPr>
        <w:t>kabeláže v</w:t>
      </w:r>
      <w:r w:rsidR="00CF2351" w:rsidRPr="004A4457">
        <w:rPr>
          <w:rFonts w:asciiTheme="minorHAnsi" w:hAnsiTheme="minorHAnsi"/>
        </w:rPr>
        <w:t> </w:t>
      </w:r>
      <w:r w:rsidR="005D72CF" w:rsidRPr="004A4457">
        <w:rPr>
          <w:rFonts w:asciiTheme="minorHAnsi" w:hAnsiTheme="minorHAnsi"/>
        </w:rPr>
        <w:t>obytných domech a</w:t>
      </w:r>
      <w:r w:rsidR="00CF2351" w:rsidRPr="004A4457">
        <w:rPr>
          <w:rFonts w:asciiTheme="minorHAnsi" w:hAnsiTheme="minorHAnsi"/>
        </w:rPr>
        <w:t> </w:t>
      </w:r>
      <w:r w:rsidR="005D72CF" w:rsidRPr="004A4457">
        <w:rPr>
          <w:rFonts w:asciiTheme="minorHAnsi" w:hAnsiTheme="minorHAnsi"/>
        </w:rPr>
        <w:t>na parkovištích. V</w:t>
      </w:r>
      <w:r w:rsidR="00CF2351" w:rsidRPr="004A4457">
        <w:rPr>
          <w:rFonts w:asciiTheme="minorHAnsi" w:hAnsiTheme="minorHAnsi"/>
        </w:rPr>
        <w:t> </w:t>
      </w:r>
      <w:r w:rsidR="005D72CF" w:rsidRPr="004A4457">
        <w:rPr>
          <w:rFonts w:asciiTheme="minorHAnsi" w:hAnsiTheme="minorHAnsi"/>
        </w:rPr>
        <w:t>souladu s</w:t>
      </w:r>
      <w:r w:rsidR="00CF2351" w:rsidRPr="004A4457">
        <w:rPr>
          <w:rFonts w:asciiTheme="minorHAnsi" w:hAnsiTheme="minorHAnsi"/>
        </w:rPr>
        <w:t> </w:t>
      </w:r>
      <w:r w:rsidR="005D72CF" w:rsidRPr="004A4457">
        <w:rPr>
          <w:rFonts w:asciiTheme="minorHAnsi" w:hAnsiTheme="minorHAnsi"/>
        </w:rPr>
        <w:t>připravenou infrastrukturou se sníží náklady na instalace dobíjecích stanic pro jednotlivé vlastníky a</w:t>
      </w:r>
      <w:r w:rsidR="00CF2351" w:rsidRPr="004A4457">
        <w:rPr>
          <w:rFonts w:asciiTheme="minorHAnsi" w:hAnsiTheme="minorHAnsi"/>
        </w:rPr>
        <w:t> </w:t>
      </w:r>
      <w:r w:rsidR="005D72CF" w:rsidRPr="004A4457">
        <w:rPr>
          <w:rFonts w:asciiTheme="minorHAnsi" w:hAnsiTheme="minorHAnsi"/>
        </w:rPr>
        <w:t>uživatelé elektrických vozidel tak budou mít přístup k</w:t>
      </w:r>
      <w:r w:rsidR="00CF2351" w:rsidRPr="004A4457">
        <w:rPr>
          <w:rFonts w:asciiTheme="minorHAnsi" w:hAnsiTheme="minorHAnsi"/>
        </w:rPr>
        <w:t> </w:t>
      </w:r>
      <w:r w:rsidR="005D72CF" w:rsidRPr="004A4457">
        <w:rPr>
          <w:rFonts w:asciiTheme="minorHAnsi" w:hAnsiTheme="minorHAnsi"/>
        </w:rPr>
        <w:t>dobíjecím stanicím. Stanovení požadavků na elektromobilitu na úrovni Unie ohledně předběžného vybavení parkovacích míst a</w:t>
      </w:r>
      <w:r w:rsidR="00CF2351" w:rsidRPr="004A4457">
        <w:rPr>
          <w:rFonts w:asciiTheme="minorHAnsi" w:hAnsiTheme="minorHAnsi"/>
        </w:rPr>
        <w:t> </w:t>
      </w:r>
      <w:r w:rsidR="005D72CF" w:rsidRPr="004A4457">
        <w:rPr>
          <w:rFonts w:asciiTheme="minorHAnsi" w:hAnsiTheme="minorHAnsi"/>
        </w:rPr>
        <w:t>instalace dobíjecích stanic je účinným způsobem, jak podpořit používání elektrických vozidel v</w:t>
      </w:r>
      <w:r w:rsidR="00CF2351" w:rsidRPr="004A4457">
        <w:rPr>
          <w:rFonts w:asciiTheme="minorHAnsi" w:hAnsiTheme="minorHAnsi"/>
        </w:rPr>
        <w:t> </w:t>
      </w:r>
      <w:r w:rsidR="005D72CF" w:rsidRPr="004A4457">
        <w:rPr>
          <w:rFonts w:asciiTheme="minorHAnsi" w:hAnsiTheme="minorHAnsi"/>
        </w:rPr>
        <w:t>blízké budoucnosti a</w:t>
      </w:r>
      <w:r w:rsidR="00CF2351" w:rsidRPr="004A4457">
        <w:rPr>
          <w:rFonts w:asciiTheme="minorHAnsi" w:hAnsiTheme="minorHAnsi"/>
        </w:rPr>
        <w:t> </w:t>
      </w:r>
      <w:r w:rsidR="005D72CF" w:rsidRPr="004A4457">
        <w:rPr>
          <w:rFonts w:asciiTheme="minorHAnsi" w:hAnsiTheme="minorHAnsi"/>
        </w:rPr>
        <w:t>současně umožnit ve</w:t>
      </w:r>
      <w:r w:rsidR="00F819FC" w:rsidRPr="004A4457">
        <w:rPr>
          <w:rFonts w:asciiTheme="minorHAnsi" w:hAnsiTheme="minorHAnsi"/>
        </w:rPr>
        <w:t> </w:t>
      </w:r>
      <w:r w:rsidR="005D72CF" w:rsidRPr="004A4457">
        <w:rPr>
          <w:rFonts w:asciiTheme="minorHAnsi" w:hAnsiTheme="minorHAnsi"/>
        </w:rPr>
        <w:t>střednědobém až dlouhodobém horizontu další rozvoj s</w:t>
      </w:r>
      <w:r w:rsidR="00CF2351" w:rsidRPr="004A4457">
        <w:rPr>
          <w:rFonts w:asciiTheme="minorHAnsi" w:hAnsiTheme="minorHAnsi"/>
        </w:rPr>
        <w:t> </w:t>
      </w:r>
      <w:r w:rsidR="005D72CF" w:rsidRPr="004A4457">
        <w:rPr>
          <w:rFonts w:asciiTheme="minorHAnsi" w:hAnsiTheme="minorHAnsi"/>
        </w:rPr>
        <w:t>nižšími náklady.</w:t>
      </w:r>
    </w:p>
    <w:p w14:paraId="0B75AF2A" w14:textId="72A1259F" w:rsidR="005D72CF" w:rsidRPr="004A4457" w:rsidRDefault="005D72CF" w:rsidP="004A4457">
      <w:pPr>
        <w:pStyle w:val="Bullet1"/>
        <w:numPr>
          <w:ilvl w:val="1"/>
          <w:numId w:val="2"/>
        </w:numPr>
        <w:spacing w:line="276" w:lineRule="auto"/>
        <w:jc w:val="both"/>
        <w:rPr>
          <w:rFonts w:asciiTheme="minorHAnsi" w:hAnsiTheme="minorHAnsi"/>
        </w:rPr>
      </w:pPr>
      <w:r w:rsidRPr="004A4457">
        <w:rPr>
          <w:rFonts w:asciiTheme="minorHAnsi" w:hAnsiTheme="minorHAnsi"/>
        </w:rPr>
        <w:t>Pokud jde o</w:t>
      </w:r>
      <w:r w:rsidR="00CF2351" w:rsidRPr="004A4457">
        <w:rPr>
          <w:rFonts w:asciiTheme="minorHAnsi" w:hAnsiTheme="minorHAnsi"/>
        </w:rPr>
        <w:t> </w:t>
      </w:r>
      <w:r w:rsidRPr="004A4457">
        <w:rPr>
          <w:rFonts w:asciiTheme="minorHAnsi" w:hAnsiTheme="minorHAnsi"/>
        </w:rPr>
        <w:t>nové jiné než obytné budovy a</w:t>
      </w:r>
      <w:r w:rsidR="00CF2351" w:rsidRPr="004A4457">
        <w:rPr>
          <w:rFonts w:asciiTheme="minorHAnsi" w:hAnsiTheme="minorHAnsi"/>
        </w:rPr>
        <w:t> </w:t>
      </w:r>
      <w:r w:rsidRPr="004A4457">
        <w:rPr>
          <w:rFonts w:asciiTheme="minorHAnsi" w:hAnsiTheme="minorHAnsi"/>
        </w:rPr>
        <w:t>jiné než obytné budovy procházející větší renovací, které mají více než deset parkovacích míst, zajistí členské státy instalaci požadovaného počtu dobíjecích bodů a</w:t>
      </w:r>
      <w:r w:rsidR="00CF2351" w:rsidRPr="004A4457">
        <w:rPr>
          <w:rFonts w:asciiTheme="minorHAnsi" w:hAnsiTheme="minorHAnsi"/>
        </w:rPr>
        <w:t> </w:t>
      </w:r>
      <w:r w:rsidRPr="004A4457">
        <w:rPr>
          <w:rFonts w:asciiTheme="minorHAnsi" w:hAnsiTheme="minorHAnsi"/>
        </w:rPr>
        <w:t xml:space="preserve">kabelovodů, tedy vedení elektrických kabelů; </w:t>
      </w:r>
    </w:p>
    <w:p w14:paraId="3CCDA631" w14:textId="7E493CB0" w:rsidR="005D72CF" w:rsidRPr="004A4457" w:rsidRDefault="005D72CF" w:rsidP="004A4457">
      <w:pPr>
        <w:pStyle w:val="Bullet1"/>
        <w:numPr>
          <w:ilvl w:val="1"/>
          <w:numId w:val="2"/>
        </w:numPr>
        <w:spacing w:line="276" w:lineRule="auto"/>
        <w:jc w:val="both"/>
        <w:rPr>
          <w:rFonts w:asciiTheme="minorHAnsi" w:hAnsiTheme="minorHAnsi"/>
        </w:rPr>
      </w:pPr>
      <w:r w:rsidRPr="004A4457">
        <w:rPr>
          <w:rFonts w:asciiTheme="minorHAnsi" w:hAnsiTheme="minorHAnsi"/>
        </w:rPr>
        <w:t>Náklady na instalaci dobíjecích stanic a</w:t>
      </w:r>
      <w:r w:rsidR="00CF2351" w:rsidRPr="004A4457">
        <w:rPr>
          <w:rFonts w:asciiTheme="minorHAnsi" w:hAnsiTheme="minorHAnsi"/>
        </w:rPr>
        <w:t> </w:t>
      </w:r>
      <w:r w:rsidRPr="004A4457">
        <w:rPr>
          <w:rFonts w:asciiTheme="minorHAnsi" w:hAnsiTheme="minorHAnsi"/>
        </w:rPr>
        <w:t xml:space="preserve">kabelovodů přesahují 7 % celkových nákladů na danou větší renovaci budovy. </w:t>
      </w:r>
    </w:p>
    <w:p w14:paraId="386D67AA" w14:textId="787665ED" w:rsidR="005D72CF" w:rsidRPr="004A4457" w:rsidRDefault="005D72CF" w:rsidP="004A4457">
      <w:pPr>
        <w:pStyle w:val="Bullet1"/>
        <w:spacing w:line="276" w:lineRule="auto"/>
        <w:jc w:val="both"/>
        <w:rPr>
          <w:rFonts w:asciiTheme="minorHAnsi" w:hAnsiTheme="minorHAnsi"/>
        </w:rPr>
      </w:pPr>
      <w:r w:rsidRPr="004A4457">
        <w:rPr>
          <w:rFonts w:asciiTheme="minorHAnsi" w:hAnsiTheme="minorHAnsi"/>
        </w:rPr>
        <w:t>Návrh nařízení Evropského parlamentu a</w:t>
      </w:r>
      <w:r w:rsidR="00CF2351" w:rsidRPr="004A4457">
        <w:rPr>
          <w:rFonts w:asciiTheme="minorHAnsi" w:hAnsiTheme="minorHAnsi"/>
        </w:rPr>
        <w:t> </w:t>
      </w:r>
      <w:r w:rsidRPr="004A4457">
        <w:rPr>
          <w:rFonts w:asciiTheme="minorHAnsi" w:hAnsiTheme="minorHAnsi"/>
        </w:rPr>
        <w:t>Rady o</w:t>
      </w:r>
      <w:r w:rsidR="00CF2351" w:rsidRPr="004A4457">
        <w:rPr>
          <w:rFonts w:asciiTheme="minorHAnsi" w:hAnsiTheme="minorHAnsi"/>
        </w:rPr>
        <w:t> </w:t>
      </w:r>
      <w:r w:rsidRPr="004A4457">
        <w:rPr>
          <w:rFonts w:asciiTheme="minorHAnsi" w:hAnsiTheme="minorHAnsi"/>
        </w:rPr>
        <w:t>bateriích a</w:t>
      </w:r>
      <w:r w:rsidR="00CF2351" w:rsidRPr="004A4457">
        <w:rPr>
          <w:rFonts w:asciiTheme="minorHAnsi" w:hAnsiTheme="minorHAnsi"/>
        </w:rPr>
        <w:t> </w:t>
      </w:r>
      <w:r w:rsidRPr="004A4457">
        <w:rPr>
          <w:rFonts w:asciiTheme="minorHAnsi" w:hAnsiTheme="minorHAnsi"/>
        </w:rPr>
        <w:t>odpadních bateriích, o</w:t>
      </w:r>
      <w:r w:rsidR="00CF2351" w:rsidRPr="004A4457">
        <w:rPr>
          <w:rFonts w:asciiTheme="minorHAnsi" w:hAnsiTheme="minorHAnsi"/>
        </w:rPr>
        <w:t> </w:t>
      </w:r>
      <w:r w:rsidRPr="004A4457">
        <w:rPr>
          <w:rFonts w:asciiTheme="minorHAnsi" w:hAnsiTheme="minorHAnsi"/>
        </w:rPr>
        <w:t>zrušení směrnice 2006/66/ES a</w:t>
      </w:r>
      <w:r w:rsidR="00CF2351" w:rsidRPr="004A4457">
        <w:rPr>
          <w:rFonts w:asciiTheme="minorHAnsi" w:hAnsiTheme="minorHAnsi"/>
        </w:rPr>
        <w:t> </w:t>
      </w:r>
      <w:r w:rsidRPr="004A4457">
        <w:rPr>
          <w:rFonts w:asciiTheme="minorHAnsi" w:hAnsiTheme="minorHAnsi"/>
        </w:rPr>
        <w:t>o změně nařízení (EU) 2019/102. Cílem této iniciativy je modernizovat předpisový rámec EU pro baterie a</w:t>
      </w:r>
      <w:r w:rsidR="00CF2351" w:rsidRPr="004A4457">
        <w:rPr>
          <w:rFonts w:asciiTheme="minorHAnsi" w:hAnsiTheme="minorHAnsi"/>
        </w:rPr>
        <w:t> </w:t>
      </w:r>
      <w:r w:rsidRPr="004A4457">
        <w:rPr>
          <w:rFonts w:asciiTheme="minorHAnsi" w:hAnsiTheme="minorHAnsi"/>
        </w:rPr>
        <w:t>napomoci snížení environmentálních a</w:t>
      </w:r>
      <w:r w:rsidR="00CF2351" w:rsidRPr="004A4457">
        <w:rPr>
          <w:rFonts w:asciiTheme="minorHAnsi" w:hAnsiTheme="minorHAnsi"/>
        </w:rPr>
        <w:t> </w:t>
      </w:r>
      <w:r w:rsidRPr="004A4457">
        <w:rPr>
          <w:rFonts w:asciiTheme="minorHAnsi" w:hAnsiTheme="minorHAnsi"/>
        </w:rPr>
        <w:t>sociálních dopadů ve všech fázích životního cyklu baterií. Měl by být vytvořen rámec k</w:t>
      </w:r>
      <w:r w:rsidR="00CF2351" w:rsidRPr="004A4457">
        <w:rPr>
          <w:rFonts w:asciiTheme="minorHAnsi" w:hAnsiTheme="minorHAnsi"/>
        </w:rPr>
        <w:t> </w:t>
      </w:r>
      <w:r w:rsidRPr="004A4457">
        <w:rPr>
          <w:rFonts w:asciiTheme="minorHAnsi" w:hAnsiTheme="minorHAnsi"/>
        </w:rPr>
        <w:t>investicím do výrobní kapacity pro udržitelné baterie a</w:t>
      </w:r>
      <w:r w:rsidR="00CF2351" w:rsidRPr="004A4457">
        <w:rPr>
          <w:rFonts w:asciiTheme="minorHAnsi" w:hAnsiTheme="minorHAnsi"/>
        </w:rPr>
        <w:t> </w:t>
      </w:r>
      <w:r w:rsidRPr="004A4457">
        <w:rPr>
          <w:rFonts w:asciiTheme="minorHAnsi" w:hAnsiTheme="minorHAnsi"/>
        </w:rPr>
        <w:t>nastaven systém fungování recyklačních trhů a</w:t>
      </w:r>
      <w:r w:rsidR="00CF2351" w:rsidRPr="004A4457">
        <w:rPr>
          <w:rFonts w:asciiTheme="minorHAnsi" w:hAnsiTheme="minorHAnsi"/>
        </w:rPr>
        <w:t> </w:t>
      </w:r>
      <w:r w:rsidRPr="004A4457">
        <w:rPr>
          <w:rFonts w:asciiTheme="minorHAnsi" w:hAnsiTheme="minorHAnsi"/>
        </w:rPr>
        <w:t>uzavřených materiálových cyklů a</w:t>
      </w:r>
      <w:r w:rsidR="00CF2351" w:rsidRPr="004A4457">
        <w:rPr>
          <w:rFonts w:asciiTheme="minorHAnsi" w:hAnsiTheme="minorHAnsi"/>
        </w:rPr>
        <w:t> </w:t>
      </w:r>
      <w:r w:rsidRPr="004A4457">
        <w:rPr>
          <w:rFonts w:asciiTheme="minorHAnsi" w:hAnsiTheme="minorHAnsi"/>
        </w:rPr>
        <w:t xml:space="preserve">napomoci tak zmírňovat rizika ohrožující dodávky surovin. </w:t>
      </w:r>
    </w:p>
    <w:p w14:paraId="582EB1A2" w14:textId="3F5570C2" w:rsidR="005D72CF" w:rsidRPr="004A4457" w:rsidRDefault="005D72CF" w:rsidP="004A4457">
      <w:pPr>
        <w:pStyle w:val="Bullet1"/>
        <w:spacing w:line="276" w:lineRule="auto"/>
        <w:jc w:val="both"/>
        <w:rPr>
          <w:rFonts w:asciiTheme="minorHAnsi" w:hAnsiTheme="minorHAnsi"/>
        </w:rPr>
      </w:pPr>
      <w:r w:rsidRPr="004A4457">
        <w:rPr>
          <w:rFonts w:asciiTheme="minorHAnsi" w:hAnsiTheme="minorHAnsi"/>
        </w:rPr>
        <w:t>Nařízení Evropského parlamentu a</w:t>
      </w:r>
      <w:r w:rsidR="00CF2351" w:rsidRPr="004A4457">
        <w:rPr>
          <w:rFonts w:asciiTheme="minorHAnsi" w:hAnsiTheme="minorHAnsi"/>
        </w:rPr>
        <w:t> </w:t>
      </w:r>
      <w:r w:rsidRPr="004A4457">
        <w:rPr>
          <w:rFonts w:asciiTheme="minorHAnsi" w:hAnsiTheme="minorHAnsi"/>
        </w:rPr>
        <w:t>Rady</w:t>
      </w:r>
      <w:r w:rsidR="0008084A" w:rsidRPr="004A4457">
        <w:rPr>
          <w:rFonts w:asciiTheme="minorHAnsi" w:hAnsiTheme="minorHAnsi"/>
        </w:rPr>
        <w:t xml:space="preserve"> č. 2024/1252 ze dne 11. dubna 2024, kterým se stanoví rámec pro zajištění bezpečných a</w:t>
      </w:r>
      <w:r w:rsidR="00CF2351" w:rsidRPr="004A4457">
        <w:rPr>
          <w:rFonts w:asciiTheme="minorHAnsi" w:hAnsiTheme="minorHAnsi"/>
        </w:rPr>
        <w:t> </w:t>
      </w:r>
      <w:r w:rsidR="0008084A" w:rsidRPr="004A4457">
        <w:rPr>
          <w:rFonts w:asciiTheme="minorHAnsi" w:hAnsiTheme="minorHAnsi"/>
        </w:rPr>
        <w:t>udržitelných dodávek kritických surovin a</w:t>
      </w:r>
      <w:r w:rsidR="00CF2351" w:rsidRPr="004A4457">
        <w:rPr>
          <w:rFonts w:asciiTheme="minorHAnsi" w:hAnsiTheme="minorHAnsi"/>
        </w:rPr>
        <w:t> </w:t>
      </w:r>
      <w:r w:rsidR="0008084A" w:rsidRPr="004A4457">
        <w:rPr>
          <w:rFonts w:asciiTheme="minorHAnsi" w:hAnsiTheme="minorHAnsi"/>
        </w:rPr>
        <w:t>mění nařízení (EU) č. 168/2013, (EU) 2018/858, (EU) 2018/1724 a</w:t>
      </w:r>
      <w:r w:rsidR="00CF2351" w:rsidRPr="004A4457">
        <w:rPr>
          <w:rFonts w:asciiTheme="minorHAnsi" w:hAnsiTheme="minorHAnsi"/>
        </w:rPr>
        <w:t> </w:t>
      </w:r>
      <w:r w:rsidR="0008084A" w:rsidRPr="004A4457">
        <w:rPr>
          <w:rFonts w:asciiTheme="minorHAnsi" w:hAnsiTheme="minorHAnsi"/>
        </w:rPr>
        <w:t>(EU) 2019/1020</w:t>
      </w:r>
      <w:r w:rsidRPr="004A4457">
        <w:rPr>
          <w:rFonts w:asciiTheme="minorHAnsi" w:hAnsiTheme="minorHAnsi"/>
        </w:rPr>
        <w:t>, kterým se stanoví rámec pro zajištění bezpečných a</w:t>
      </w:r>
      <w:r w:rsidR="00CF2351" w:rsidRPr="004A4457">
        <w:rPr>
          <w:rFonts w:asciiTheme="minorHAnsi" w:hAnsiTheme="minorHAnsi"/>
        </w:rPr>
        <w:t> </w:t>
      </w:r>
      <w:r w:rsidRPr="004A4457">
        <w:rPr>
          <w:rFonts w:asciiTheme="minorHAnsi" w:hAnsiTheme="minorHAnsi"/>
        </w:rPr>
        <w:t>udržitelných dodávek kritických surovin</w:t>
      </w:r>
      <w:r w:rsidRPr="004A4457">
        <w:rPr>
          <w:rStyle w:val="Znakapoznpodarou"/>
          <w:rFonts w:asciiTheme="minorHAnsi" w:hAnsiTheme="minorHAnsi"/>
        </w:rPr>
        <w:footnoteReference w:id="2"/>
      </w:r>
      <w:r w:rsidRPr="004A4457">
        <w:rPr>
          <w:rFonts w:asciiTheme="minorHAnsi" w:hAnsiTheme="minorHAnsi"/>
        </w:rPr>
        <w:t xml:space="preserve">. Komise posuzuje více </w:t>
      </w:r>
      <w:r w:rsidRPr="004A4457">
        <w:rPr>
          <w:rFonts w:asciiTheme="minorHAnsi" w:hAnsiTheme="minorHAnsi"/>
        </w:rPr>
        <w:lastRenderedPageBreak/>
        <w:t>než 80 materiálů používaných v</w:t>
      </w:r>
      <w:r w:rsidR="00CF2351" w:rsidRPr="004A4457">
        <w:rPr>
          <w:rFonts w:asciiTheme="minorHAnsi" w:hAnsiTheme="minorHAnsi"/>
        </w:rPr>
        <w:t> </w:t>
      </w:r>
      <w:r w:rsidRPr="004A4457">
        <w:rPr>
          <w:rFonts w:asciiTheme="minorHAnsi" w:hAnsiTheme="minorHAnsi"/>
        </w:rPr>
        <w:t>průmyslu EU z</w:t>
      </w:r>
      <w:r w:rsidR="00CF2351" w:rsidRPr="004A4457">
        <w:rPr>
          <w:rFonts w:asciiTheme="minorHAnsi" w:hAnsiTheme="minorHAnsi"/>
        </w:rPr>
        <w:t> </w:t>
      </w:r>
      <w:r w:rsidRPr="004A4457">
        <w:rPr>
          <w:rFonts w:asciiTheme="minorHAnsi" w:hAnsiTheme="minorHAnsi"/>
        </w:rPr>
        <w:t>hlediska jejich dodavatelského rizika a</w:t>
      </w:r>
      <w:r w:rsidR="00CF2351" w:rsidRPr="004A4457">
        <w:rPr>
          <w:rFonts w:asciiTheme="minorHAnsi" w:hAnsiTheme="minorHAnsi"/>
        </w:rPr>
        <w:t> </w:t>
      </w:r>
      <w:r w:rsidRPr="004A4457">
        <w:rPr>
          <w:rFonts w:asciiTheme="minorHAnsi" w:hAnsiTheme="minorHAnsi"/>
        </w:rPr>
        <w:t>hospodářského významu na základě průměrných údajů za poslední úplné 5leté období. Kromě aktualizovaného seznamu kritických surovin nařízení určuje seznam strategických surovin, které jsou klíčové pro technologie důležité pro ekologické a</w:t>
      </w:r>
      <w:r w:rsidR="00CF2351" w:rsidRPr="004A4457">
        <w:rPr>
          <w:rFonts w:asciiTheme="minorHAnsi" w:hAnsiTheme="minorHAnsi"/>
        </w:rPr>
        <w:t> </w:t>
      </w:r>
      <w:r w:rsidRPr="004A4457">
        <w:rPr>
          <w:rFonts w:asciiTheme="minorHAnsi" w:hAnsiTheme="minorHAnsi"/>
        </w:rPr>
        <w:t>digitální ambice Evropy a</w:t>
      </w:r>
      <w:r w:rsidR="00CF2351" w:rsidRPr="004A4457">
        <w:rPr>
          <w:rFonts w:asciiTheme="minorHAnsi" w:hAnsiTheme="minorHAnsi"/>
        </w:rPr>
        <w:t> </w:t>
      </w:r>
      <w:r w:rsidRPr="004A4457">
        <w:rPr>
          <w:rFonts w:asciiTheme="minorHAnsi" w:hAnsiTheme="minorHAnsi"/>
        </w:rPr>
        <w:t>pro obranné a</w:t>
      </w:r>
      <w:r w:rsidR="00CF2351" w:rsidRPr="004A4457">
        <w:rPr>
          <w:rFonts w:asciiTheme="minorHAnsi" w:hAnsiTheme="minorHAnsi"/>
        </w:rPr>
        <w:t> </w:t>
      </w:r>
      <w:r w:rsidRPr="004A4457">
        <w:rPr>
          <w:rFonts w:asciiTheme="minorHAnsi" w:hAnsiTheme="minorHAnsi"/>
        </w:rPr>
        <w:t>vesmírné aplikace, přičemž podléhají potenciální rizika dodávek v</w:t>
      </w:r>
      <w:r w:rsidR="00CF2351" w:rsidRPr="004A4457">
        <w:rPr>
          <w:rFonts w:asciiTheme="minorHAnsi" w:hAnsiTheme="minorHAnsi"/>
        </w:rPr>
        <w:t> </w:t>
      </w:r>
      <w:r w:rsidRPr="004A4457">
        <w:rPr>
          <w:rFonts w:asciiTheme="minorHAnsi" w:hAnsiTheme="minorHAnsi"/>
        </w:rPr>
        <w:t>budoucnu. Nařízení zakotvuje seznamy kritických i</w:t>
      </w:r>
      <w:r w:rsidR="00CF2351" w:rsidRPr="004A4457">
        <w:rPr>
          <w:rFonts w:asciiTheme="minorHAnsi" w:hAnsiTheme="minorHAnsi"/>
        </w:rPr>
        <w:t> </w:t>
      </w:r>
      <w:r w:rsidRPr="004A4457">
        <w:rPr>
          <w:rFonts w:asciiTheme="minorHAnsi" w:hAnsiTheme="minorHAnsi"/>
        </w:rPr>
        <w:t>strategických surovin do práva EU. Nařízení stanoví jasná měřítka pro domácí kapacity v</w:t>
      </w:r>
      <w:r w:rsidR="00CF2351" w:rsidRPr="004A4457">
        <w:rPr>
          <w:rFonts w:asciiTheme="minorHAnsi" w:hAnsiTheme="minorHAnsi"/>
        </w:rPr>
        <w:t> </w:t>
      </w:r>
      <w:r w:rsidRPr="004A4457">
        <w:rPr>
          <w:rFonts w:asciiTheme="minorHAnsi" w:hAnsiTheme="minorHAnsi"/>
        </w:rPr>
        <w:t>rámci strategického dodavatelského řetězce surovin a</w:t>
      </w:r>
      <w:r w:rsidR="00CF2351" w:rsidRPr="004A4457">
        <w:rPr>
          <w:rFonts w:asciiTheme="minorHAnsi" w:hAnsiTheme="minorHAnsi"/>
        </w:rPr>
        <w:t> </w:t>
      </w:r>
      <w:r w:rsidRPr="004A4457">
        <w:rPr>
          <w:rFonts w:asciiTheme="minorHAnsi" w:hAnsiTheme="minorHAnsi"/>
        </w:rPr>
        <w:t>pro diverzifikaci dodávek EU do roku 2030:</w:t>
      </w:r>
    </w:p>
    <w:p w14:paraId="12617BA1" w14:textId="77777777"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t>nejméně 10 % roční spotřeby EU na těžbu,</w:t>
      </w:r>
    </w:p>
    <w:p w14:paraId="40D098EB" w14:textId="77777777"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t>nejméně 40 % roční spotřeby EU na zpracování,</w:t>
      </w:r>
    </w:p>
    <w:p w14:paraId="1D874983" w14:textId="77777777"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t>nejméně 15 % roční spotřeby EU na recyklaci,</w:t>
      </w:r>
    </w:p>
    <w:p w14:paraId="6A1BEDC5" w14:textId="4F7649E2"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t>ne více než 65 % roční spotřeby Unie na každou strategickou surovinu v</w:t>
      </w:r>
      <w:r w:rsidR="00CF2351" w:rsidRPr="004A4457">
        <w:rPr>
          <w:rFonts w:asciiTheme="minorHAnsi" w:hAnsiTheme="minorHAnsi"/>
        </w:rPr>
        <w:t> </w:t>
      </w:r>
      <w:r w:rsidRPr="004A4457">
        <w:rPr>
          <w:rFonts w:asciiTheme="minorHAnsi" w:hAnsiTheme="minorHAnsi"/>
        </w:rPr>
        <w:t>jakékoli relevantní fázi zpracování z</w:t>
      </w:r>
      <w:r w:rsidR="00CF2351" w:rsidRPr="004A4457">
        <w:rPr>
          <w:rFonts w:asciiTheme="minorHAnsi" w:hAnsiTheme="minorHAnsi"/>
        </w:rPr>
        <w:t> </w:t>
      </w:r>
      <w:r w:rsidRPr="004A4457">
        <w:rPr>
          <w:rFonts w:asciiTheme="minorHAnsi" w:hAnsiTheme="minorHAnsi"/>
        </w:rPr>
        <w:t>jediné třetí země.</w:t>
      </w:r>
    </w:p>
    <w:p w14:paraId="4C7D8DD6" w14:textId="19F7039B" w:rsidR="005D72CF" w:rsidRPr="004A4457" w:rsidRDefault="005D72CF" w:rsidP="004A4457">
      <w:pPr>
        <w:pStyle w:val="Bullet1"/>
        <w:numPr>
          <w:ilvl w:val="0"/>
          <w:numId w:val="0"/>
        </w:numPr>
        <w:spacing w:line="276" w:lineRule="auto"/>
        <w:ind w:left="170"/>
        <w:jc w:val="both"/>
        <w:rPr>
          <w:rFonts w:asciiTheme="minorHAnsi" w:hAnsiTheme="minorHAnsi"/>
        </w:rPr>
      </w:pPr>
      <w:r w:rsidRPr="004A4457">
        <w:rPr>
          <w:rFonts w:asciiTheme="minorHAnsi" w:hAnsiTheme="minorHAnsi"/>
        </w:rPr>
        <w:t>Návrh má za cíl snížit administrativní zátěž a</w:t>
      </w:r>
      <w:r w:rsidR="00CF2351" w:rsidRPr="004A4457">
        <w:rPr>
          <w:rFonts w:asciiTheme="minorHAnsi" w:hAnsiTheme="minorHAnsi"/>
        </w:rPr>
        <w:t> </w:t>
      </w:r>
      <w:r w:rsidRPr="004A4457">
        <w:rPr>
          <w:rFonts w:asciiTheme="minorHAnsi" w:hAnsiTheme="minorHAnsi"/>
        </w:rPr>
        <w:t>zjednodušit povolovací postupy pro projekty kritických surovin v</w:t>
      </w:r>
      <w:r w:rsidR="00CF2351" w:rsidRPr="004A4457">
        <w:rPr>
          <w:rFonts w:asciiTheme="minorHAnsi" w:hAnsiTheme="minorHAnsi"/>
        </w:rPr>
        <w:t> </w:t>
      </w:r>
      <w:r w:rsidRPr="004A4457">
        <w:rPr>
          <w:rFonts w:asciiTheme="minorHAnsi" w:hAnsiTheme="minorHAnsi"/>
        </w:rPr>
        <w:t>EU. Kromě toho budou vybrané strategické projekty těžit z</w:t>
      </w:r>
      <w:r w:rsidR="00CF2351" w:rsidRPr="004A4457">
        <w:rPr>
          <w:rFonts w:asciiTheme="minorHAnsi" w:hAnsiTheme="minorHAnsi"/>
        </w:rPr>
        <w:t> </w:t>
      </w:r>
      <w:r w:rsidRPr="004A4457">
        <w:rPr>
          <w:rFonts w:asciiTheme="minorHAnsi" w:hAnsiTheme="minorHAnsi"/>
        </w:rPr>
        <w:t>podpory přístupu k</w:t>
      </w:r>
      <w:r w:rsidR="00CF2351" w:rsidRPr="004A4457">
        <w:rPr>
          <w:rFonts w:asciiTheme="minorHAnsi" w:hAnsiTheme="minorHAnsi"/>
        </w:rPr>
        <w:t> </w:t>
      </w:r>
      <w:r w:rsidRPr="004A4457">
        <w:rPr>
          <w:rFonts w:asciiTheme="minorHAnsi" w:hAnsiTheme="minorHAnsi"/>
        </w:rPr>
        <w:t>financím a</w:t>
      </w:r>
      <w:r w:rsidR="00CF2351" w:rsidRPr="004A4457">
        <w:rPr>
          <w:rFonts w:asciiTheme="minorHAnsi" w:hAnsiTheme="minorHAnsi"/>
        </w:rPr>
        <w:t> </w:t>
      </w:r>
      <w:r w:rsidRPr="004A4457">
        <w:rPr>
          <w:rFonts w:asciiTheme="minorHAnsi" w:hAnsiTheme="minorHAnsi"/>
        </w:rPr>
        <w:t>kratších povolovacích lhůt (24 měsíců pro povolení k</w:t>
      </w:r>
      <w:r w:rsidR="00CF2351" w:rsidRPr="004A4457">
        <w:rPr>
          <w:rFonts w:asciiTheme="minorHAnsi" w:hAnsiTheme="minorHAnsi"/>
        </w:rPr>
        <w:t> </w:t>
      </w:r>
      <w:r w:rsidRPr="004A4457">
        <w:rPr>
          <w:rFonts w:asciiTheme="minorHAnsi" w:hAnsiTheme="minorHAnsi"/>
        </w:rPr>
        <w:t>těžbě a</w:t>
      </w:r>
      <w:r w:rsidR="00CF2351" w:rsidRPr="004A4457">
        <w:rPr>
          <w:rFonts w:asciiTheme="minorHAnsi" w:hAnsiTheme="minorHAnsi"/>
        </w:rPr>
        <w:t> </w:t>
      </w:r>
      <w:r w:rsidRPr="004A4457">
        <w:rPr>
          <w:rFonts w:asciiTheme="minorHAnsi" w:hAnsiTheme="minorHAnsi"/>
        </w:rPr>
        <w:t>12 měsíců na povolení ke zpracování a</w:t>
      </w:r>
      <w:r w:rsidR="00CF2351" w:rsidRPr="004A4457">
        <w:rPr>
          <w:rFonts w:asciiTheme="minorHAnsi" w:hAnsiTheme="minorHAnsi"/>
        </w:rPr>
        <w:t> </w:t>
      </w:r>
      <w:r w:rsidRPr="004A4457">
        <w:rPr>
          <w:rFonts w:asciiTheme="minorHAnsi" w:hAnsiTheme="minorHAnsi"/>
        </w:rPr>
        <w:t>recyklaci). Členské státy budou také muset vypracovat národní programy pro průzkum geologických zdrojů.</w:t>
      </w:r>
    </w:p>
    <w:p w14:paraId="07B71A78" w14:textId="489D52F7" w:rsidR="005D72CF" w:rsidRPr="004A4457" w:rsidRDefault="005D72CF" w:rsidP="004A4457">
      <w:pPr>
        <w:pStyle w:val="Bullet1"/>
        <w:spacing w:line="276" w:lineRule="auto"/>
        <w:jc w:val="both"/>
        <w:rPr>
          <w:rFonts w:asciiTheme="minorHAnsi" w:hAnsiTheme="minorHAnsi"/>
        </w:rPr>
      </w:pPr>
      <w:r w:rsidRPr="004A4457">
        <w:rPr>
          <w:rFonts w:asciiTheme="minorHAnsi" w:hAnsiTheme="minorHAnsi"/>
        </w:rPr>
        <w:t>Sdělení Komise Evropskému Parlamentu, Radě, Evropskému hospodářskému a</w:t>
      </w:r>
      <w:r w:rsidR="00CF2351" w:rsidRPr="004A4457">
        <w:rPr>
          <w:rFonts w:asciiTheme="minorHAnsi" w:hAnsiTheme="minorHAnsi"/>
        </w:rPr>
        <w:t> </w:t>
      </w:r>
      <w:r w:rsidRPr="004A4457">
        <w:rPr>
          <w:rFonts w:asciiTheme="minorHAnsi" w:hAnsiTheme="minorHAnsi"/>
        </w:rPr>
        <w:t>sociálnímu výboru a</w:t>
      </w:r>
      <w:r w:rsidR="00CF2351" w:rsidRPr="004A4457">
        <w:rPr>
          <w:rFonts w:asciiTheme="minorHAnsi" w:hAnsiTheme="minorHAnsi"/>
        </w:rPr>
        <w:t> </w:t>
      </w:r>
      <w:r w:rsidRPr="004A4457">
        <w:rPr>
          <w:rFonts w:asciiTheme="minorHAnsi" w:hAnsiTheme="minorHAnsi"/>
        </w:rPr>
        <w:t>Výboru regionů o</w:t>
      </w:r>
      <w:r w:rsidR="00CF2351" w:rsidRPr="004A4457">
        <w:rPr>
          <w:rFonts w:asciiTheme="minorHAnsi" w:hAnsiTheme="minorHAnsi"/>
        </w:rPr>
        <w:t> </w:t>
      </w:r>
      <w:r w:rsidRPr="004A4457">
        <w:rPr>
          <w:rFonts w:asciiTheme="minorHAnsi" w:hAnsiTheme="minorHAnsi"/>
        </w:rPr>
        <w:t>Evropské vodíkové bance</w:t>
      </w:r>
      <w:r w:rsidRPr="004A4457">
        <w:rPr>
          <w:rStyle w:val="Znakapoznpodarou"/>
          <w:rFonts w:asciiTheme="minorHAnsi" w:hAnsiTheme="minorHAnsi"/>
        </w:rPr>
        <w:footnoteReference w:id="3"/>
      </w:r>
      <w:r w:rsidRPr="004A4457">
        <w:rPr>
          <w:rFonts w:asciiTheme="minorHAnsi" w:hAnsiTheme="minorHAnsi"/>
        </w:rPr>
        <w:t>. EK si stanovila cíl od roku 2020 vyrábět v</w:t>
      </w:r>
      <w:r w:rsidR="00CF2351" w:rsidRPr="004A4457">
        <w:rPr>
          <w:rFonts w:asciiTheme="minorHAnsi" w:hAnsiTheme="minorHAnsi"/>
        </w:rPr>
        <w:t> </w:t>
      </w:r>
      <w:r w:rsidRPr="004A4457">
        <w:rPr>
          <w:rFonts w:asciiTheme="minorHAnsi" w:hAnsiTheme="minorHAnsi"/>
        </w:rPr>
        <w:t>EU až 10 milionů tun vodíku z</w:t>
      </w:r>
      <w:r w:rsidR="00CF2351" w:rsidRPr="004A4457">
        <w:rPr>
          <w:rFonts w:asciiTheme="minorHAnsi" w:hAnsiTheme="minorHAnsi"/>
        </w:rPr>
        <w:t> </w:t>
      </w:r>
      <w:r w:rsidRPr="004A4457">
        <w:rPr>
          <w:rFonts w:asciiTheme="minorHAnsi" w:hAnsiTheme="minorHAnsi"/>
        </w:rPr>
        <w:t>obnovitelných zdrojů a</w:t>
      </w:r>
      <w:r w:rsidR="00CF2351" w:rsidRPr="004A4457">
        <w:rPr>
          <w:rFonts w:asciiTheme="minorHAnsi" w:hAnsiTheme="minorHAnsi"/>
        </w:rPr>
        <w:t> </w:t>
      </w:r>
      <w:r w:rsidRPr="004A4457">
        <w:rPr>
          <w:rFonts w:asciiTheme="minorHAnsi" w:hAnsiTheme="minorHAnsi"/>
        </w:rPr>
        <w:t>dalších 10 mil. tun dovážet. Celkově se očekává, že souhrnné investiční potřeby na výrobu, přepravu a</w:t>
      </w:r>
      <w:r w:rsidR="00CF2351" w:rsidRPr="004A4457">
        <w:rPr>
          <w:rFonts w:asciiTheme="minorHAnsi" w:hAnsiTheme="minorHAnsi"/>
        </w:rPr>
        <w:t> </w:t>
      </w:r>
      <w:r w:rsidRPr="004A4457">
        <w:rPr>
          <w:rFonts w:asciiTheme="minorHAnsi" w:hAnsiTheme="minorHAnsi"/>
        </w:rPr>
        <w:t>spotřebu 10 milionů tun vodíku z</w:t>
      </w:r>
      <w:r w:rsidR="00CF2351" w:rsidRPr="004A4457">
        <w:rPr>
          <w:rFonts w:asciiTheme="minorHAnsi" w:hAnsiTheme="minorHAnsi"/>
        </w:rPr>
        <w:t> </w:t>
      </w:r>
      <w:r w:rsidRPr="004A4457">
        <w:rPr>
          <w:rFonts w:asciiTheme="minorHAnsi" w:hAnsiTheme="minorHAnsi"/>
        </w:rPr>
        <w:t>obnovitelných zdrojů se budou pohybovat v</w:t>
      </w:r>
      <w:r w:rsidR="00CF2351" w:rsidRPr="004A4457">
        <w:rPr>
          <w:rFonts w:asciiTheme="minorHAnsi" w:hAnsiTheme="minorHAnsi"/>
        </w:rPr>
        <w:t> </w:t>
      </w:r>
      <w:r w:rsidRPr="004A4457">
        <w:rPr>
          <w:rFonts w:asciiTheme="minorHAnsi" w:hAnsiTheme="minorHAnsi"/>
        </w:rPr>
        <w:t>rozmezí 335–471 miliard €. Aby bylo možné dovážet 10 milionů tun vodíku z</w:t>
      </w:r>
      <w:r w:rsidR="00CF2351" w:rsidRPr="004A4457">
        <w:rPr>
          <w:rFonts w:asciiTheme="minorHAnsi" w:hAnsiTheme="minorHAnsi"/>
        </w:rPr>
        <w:t> </w:t>
      </w:r>
      <w:r w:rsidRPr="004A4457">
        <w:rPr>
          <w:rFonts w:asciiTheme="minorHAnsi" w:hAnsiTheme="minorHAnsi"/>
        </w:rPr>
        <w:t>obnovitelných zdrojů, a</w:t>
      </w:r>
      <w:r w:rsidR="00CF2351" w:rsidRPr="004A4457">
        <w:rPr>
          <w:rFonts w:asciiTheme="minorHAnsi" w:hAnsiTheme="minorHAnsi"/>
        </w:rPr>
        <w:t> </w:t>
      </w:r>
      <w:r w:rsidRPr="004A4457">
        <w:rPr>
          <w:rFonts w:asciiTheme="minorHAnsi" w:hAnsiTheme="minorHAnsi"/>
        </w:rPr>
        <w:t>to i</w:t>
      </w:r>
      <w:r w:rsidR="00CF2351" w:rsidRPr="004A4457">
        <w:rPr>
          <w:rFonts w:asciiTheme="minorHAnsi" w:hAnsiTheme="minorHAnsi"/>
        </w:rPr>
        <w:t> </w:t>
      </w:r>
      <w:r w:rsidRPr="004A4457">
        <w:rPr>
          <w:rFonts w:asciiTheme="minorHAnsi" w:hAnsiTheme="minorHAnsi"/>
        </w:rPr>
        <w:t>ve formě derivátů, bude zapotřebí dalších 500 miliard € investic do mezinárodních hodnotových řetězců. Na rok 2022 byla z</w:t>
      </w:r>
      <w:r w:rsidR="00CF2351" w:rsidRPr="004A4457">
        <w:rPr>
          <w:rFonts w:asciiTheme="minorHAnsi" w:hAnsiTheme="minorHAnsi"/>
        </w:rPr>
        <w:t> </w:t>
      </w:r>
      <w:r w:rsidRPr="004A4457">
        <w:rPr>
          <w:rFonts w:asciiTheme="minorHAnsi" w:hAnsiTheme="minorHAnsi"/>
        </w:rPr>
        <w:t>Inovačního fondu vyčleněna 1 miliarda € na vodík a</w:t>
      </w:r>
      <w:r w:rsidR="00CF2351" w:rsidRPr="004A4457">
        <w:rPr>
          <w:rFonts w:asciiTheme="minorHAnsi" w:hAnsiTheme="minorHAnsi"/>
        </w:rPr>
        <w:t> </w:t>
      </w:r>
      <w:r w:rsidRPr="004A4457">
        <w:rPr>
          <w:rFonts w:asciiTheme="minorHAnsi" w:hAnsiTheme="minorHAnsi"/>
        </w:rPr>
        <w:t>elektrifikaci průmyslu a</w:t>
      </w:r>
      <w:r w:rsidR="00CF2351" w:rsidRPr="004A4457">
        <w:rPr>
          <w:rFonts w:asciiTheme="minorHAnsi" w:hAnsiTheme="minorHAnsi"/>
        </w:rPr>
        <w:t> </w:t>
      </w:r>
      <w:r w:rsidRPr="004A4457">
        <w:rPr>
          <w:rFonts w:asciiTheme="minorHAnsi" w:hAnsiTheme="minorHAnsi"/>
        </w:rPr>
        <w:t>700 milionů € na výrobu čistých technologií, včetně elektrolyzérů.</w:t>
      </w:r>
    </w:p>
    <w:p w14:paraId="167F2B43" w14:textId="13C977EB" w:rsidR="005D72CF" w:rsidRPr="004A4457" w:rsidRDefault="005D72CF" w:rsidP="004A4457">
      <w:pPr>
        <w:pStyle w:val="Bullet1"/>
        <w:spacing w:line="276" w:lineRule="auto"/>
        <w:jc w:val="both"/>
        <w:rPr>
          <w:rFonts w:asciiTheme="minorHAnsi" w:hAnsiTheme="minorHAnsi"/>
        </w:rPr>
      </w:pPr>
      <w:r w:rsidRPr="004A4457">
        <w:rPr>
          <w:rFonts w:asciiTheme="minorHAnsi" w:hAnsiTheme="minorHAnsi"/>
        </w:rPr>
        <w:t>Návrh nařízení o</w:t>
      </w:r>
      <w:r w:rsidR="00CF2351" w:rsidRPr="004A4457">
        <w:rPr>
          <w:rFonts w:asciiTheme="minorHAnsi" w:hAnsiTheme="minorHAnsi"/>
        </w:rPr>
        <w:t> </w:t>
      </w:r>
      <w:r w:rsidRPr="004A4457">
        <w:rPr>
          <w:rFonts w:asciiTheme="minorHAnsi" w:hAnsiTheme="minorHAnsi"/>
        </w:rPr>
        <w:t>klimaticky neutrálním průmyslu (Net-</w:t>
      </w:r>
      <w:proofErr w:type="spellStart"/>
      <w:r w:rsidRPr="004A4457">
        <w:rPr>
          <w:rFonts w:asciiTheme="minorHAnsi" w:hAnsiTheme="minorHAnsi"/>
        </w:rPr>
        <w:t>Zero</w:t>
      </w:r>
      <w:proofErr w:type="spellEnd"/>
      <w:r w:rsidRPr="004A4457">
        <w:rPr>
          <w:rFonts w:asciiTheme="minorHAnsi" w:hAnsiTheme="minorHAnsi"/>
        </w:rPr>
        <w:t xml:space="preserve"> </w:t>
      </w:r>
      <w:proofErr w:type="spellStart"/>
      <w:r w:rsidRPr="004A4457">
        <w:rPr>
          <w:rFonts w:asciiTheme="minorHAnsi" w:hAnsiTheme="minorHAnsi"/>
        </w:rPr>
        <w:t>Industry</w:t>
      </w:r>
      <w:proofErr w:type="spellEnd"/>
      <w:r w:rsidRPr="004A4457">
        <w:rPr>
          <w:rFonts w:asciiTheme="minorHAnsi" w:hAnsiTheme="minorHAnsi"/>
        </w:rPr>
        <w:t xml:space="preserve"> </w:t>
      </w:r>
      <w:proofErr w:type="spellStart"/>
      <w:r w:rsidRPr="004A4457">
        <w:rPr>
          <w:rFonts w:asciiTheme="minorHAnsi" w:hAnsiTheme="minorHAnsi"/>
        </w:rPr>
        <w:t>Act</w:t>
      </w:r>
      <w:proofErr w:type="spellEnd"/>
      <w:r w:rsidRPr="004A4457">
        <w:rPr>
          <w:rFonts w:asciiTheme="minorHAnsi" w:hAnsiTheme="minorHAnsi"/>
        </w:rPr>
        <w:t>). Nařízení dle vyjádření EK posílí odolnost a</w:t>
      </w:r>
      <w:r w:rsidR="00CF2351" w:rsidRPr="004A4457">
        <w:rPr>
          <w:rFonts w:asciiTheme="minorHAnsi" w:hAnsiTheme="minorHAnsi"/>
        </w:rPr>
        <w:t> </w:t>
      </w:r>
      <w:r w:rsidRPr="004A4457">
        <w:rPr>
          <w:rFonts w:asciiTheme="minorHAnsi" w:hAnsiTheme="minorHAnsi"/>
        </w:rPr>
        <w:t>konkurenceschopnost výroby čistých technologií v</w:t>
      </w:r>
      <w:r w:rsidR="00CF2351" w:rsidRPr="004A4457">
        <w:rPr>
          <w:rFonts w:asciiTheme="minorHAnsi" w:hAnsiTheme="minorHAnsi"/>
        </w:rPr>
        <w:t> </w:t>
      </w:r>
      <w:r w:rsidRPr="004A4457">
        <w:rPr>
          <w:rFonts w:asciiTheme="minorHAnsi" w:hAnsiTheme="minorHAnsi"/>
        </w:rPr>
        <w:t>EU a</w:t>
      </w:r>
      <w:r w:rsidR="00CF2351" w:rsidRPr="004A4457">
        <w:rPr>
          <w:rFonts w:asciiTheme="minorHAnsi" w:hAnsiTheme="minorHAnsi"/>
        </w:rPr>
        <w:t> </w:t>
      </w:r>
      <w:r w:rsidRPr="004A4457">
        <w:rPr>
          <w:rFonts w:asciiTheme="minorHAnsi" w:hAnsiTheme="minorHAnsi"/>
        </w:rPr>
        <w:t>učiní evropský energetický systém bezpečnější a</w:t>
      </w:r>
      <w:r w:rsidR="00CF2351" w:rsidRPr="004A4457">
        <w:rPr>
          <w:rFonts w:asciiTheme="minorHAnsi" w:hAnsiTheme="minorHAnsi"/>
        </w:rPr>
        <w:t> </w:t>
      </w:r>
      <w:r w:rsidRPr="004A4457">
        <w:rPr>
          <w:rFonts w:asciiTheme="minorHAnsi" w:hAnsiTheme="minorHAnsi"/>
        </w:rPr>
        <w:t>udržitelnější. Připraví lepší podmínky pro vytvoření čistých projektů v</w:t>
      </w:r>
      <w:r w:rsidR="00CF2351" w:rsidRPr="004A4457">
        <w:rPr>
          <w:rFonts w:asciiTheme="minorHAnsi" w:hAnsiTheme="minorHAnsi"/>
        </w:rPr>
        <w:t> </w:t>
      </w:r>
      <w:r w:rsidRPr="004A4457">
        <w:rPr>
          <w:rFonts w:asciiTheme="minorHAnsi" w:hAnsiTheme="minorHAnsi"/>
        </w:rPr>
        <w:t>Evropě a</w:t>
      </w:r>
      <w:r w:rsidR="00CF2351" w:rsidRPr="004A4457">
        <w:rPr>
          <w:rFonts w:asciiTheme="minorHAnsi" w:hAnsiTheme="minorHAnsi"/>
        </w:rPr>
        <w:t> </w:t>
      </w:r>
      <w:r w:rsidRPr="004A4457">
        <w:rPr>
          <w:rFonts w:asciiTheme="minorHAnsi" w:hAnsiTheme="minorHAnsi"/>
        </w:rPr>
        <w:t>pro přilákání investic s</w:t>
      </w:r>
      <w:r w:rsidR="00CF2351" w:rsidRPr="004A4457">
        <w:rPr>
          <w:rFonts w:asciiTheme="minorHAnsi" w:hAnsiTheme="minorHAnsi"/>
        </w:rPr>
        <w:t> </w:t>
      </w:r>
      <w:r w:rsidRPr="004A4457">
        <w:rPr>
          <w:rFonts w:asciiTheme="minorHAnsi" w:hAnsiTheme="minorHAnsi"/>
        </w:rPr>
        <w:t>cílem, aby se celková výrobní kapacita Unie pro strategické čisté technologie do roku 2030 přiblížila nebo dosáhla alespoň 40 % potřeb Unie. To urychlí pokrok směrem ke klimatickým a</w:t>
      </w:r>
      <w:r w:rsidR="00CF2351" w:rsidRPr="004A4457">
        <w:rPr>
          <w:rFonts w:asciiTheme="minorHAnsi" w:hAnsiTheme="minorHAnsi"/>
        </w:rPr>
        <w:t> </w:t>
      </w:r>
      <w:r w:rsidRPr="004A4457">
        <w:rPr>
          <w:rFonts w:asciiTheme="minorHAnsi" w:hAnsiTheme="minorHAnsi"/>
        </w:rPr>
        <w:t>energetickým cílům EU do roku 2030 a</w:t>
      </w:r>
      <w:r w:rsidR="00CF2351" w:rsidRPr="004A4457">
        <w:rPr>
          <w:rFonts w:asciiTheme="minorHAnsi" w:hAnsiTheme="minorHAnsi"/>
        </w:rPr>
        <w:t> </w:t>
      </w:r>
      <w:r w:rsidRPr="004A4457">
        <w:rPr>
          <w:rFonts w:asciiTheme="minorHAnsi" w:hAnsiTheme="minorHAnsi"/>
        </w:rPr>
        <w:t>přechod ke klimatické neutralitě při současném posílení konkurenceschopnosti průmyslu EU, vytváření kvalitních pracovních míst a</w:t>
      </w:r>
      <w:r w:rsidR="00CF2351" w:rsidRPr="004A4457">
        <w:rPr>
          <w:rFonts w:asciiTheme="minorHAnsi" w:hAnsiTheme="minorHAnsi"/>
        </w:rPr>
        <w:t> </w:t>
      </w:r>
      <w:r w:rsidRPr="004A4457">
        <w:rPr>
          <w:rFonts w:asciiTheme="minorHAnsi" w:hAnsiTheme="minorHAnsi"/>
        </w:rPr>
        <w:t>podpoře úsilí EU o</w:t>
      </w:r>
      <w:r w:rsidR="00CF2351" w:rsidRPr="004A4457">
        <w:rPr>
          <w:rFonts w:asciiTheme="minorHAnsi" w:hAnsiTheme="minorHAnsi"/>
        </w:rPr>
        <w:t> </w:t>
      </w:r>
      <w:r w:rsidRPr="004A4457">
        <w:rPr>
          <w:rFonts w:asciiTheme="minorHAnsi" w:hAnsiTheme="minorHAnsi"/>
        </w:rPr>
        <w:t>energetickou nezávislost.</w:t>
      </w:r>
    </w:p>
    <w:p w14:paraId="27AB6FA0" w14:textId="28FB94C1" w:rsidR="005D72CF" w:rsidRPr="004A4457" w:rsidRDefault="005D72CF" w:rsidP="004A4457">
      <w:pPr>
        <w:spacing w:line="276" w:lineRule="auto"/>
        <w:ind w:left="568"/>
        <w:jc w:val="both"/>
        <w:rPr>
          <w:rFonts w:asciiTheme="minorHAnsi" w:hAnsiTheme="minorHAnsi"/>
        </w:rPr>
      </w:pPr>
      <w:r w:rsidRPr="004A4457">
        <w:rPr>
          <w:rFonts w:asciiTheme="minorHAnsi" w:hAnsiTheme="minorHAnsi"/>
        </w:rPr>
        <w:t>Navrhovaná právní úprava se zabývá technologiemi, které významně přispějí k</w:t>
      </w:r>
      <w:r w:rsidR="00CF2351" w:rsidRPr="004A4457">
        <w:rPr>
          <w:rFonts w:asciiTheme="minorHAnsi" w:hAnsiTheme="minorHAnsi"/>
        </w:rPr>
        <w:t> </w:t>
      </w:r>
      <w:r w:rsidRPr="004A4457">
        <w:rPr>
          <w:rFonts w:asciiTheme="minorHAnsi" w:hAnsiTheme="minorHAnsi"/>
        </w:rPr>
        <w:t xml:space="preserve">dekarbonizaci. Nařízení podporuje zejména 8 strategických technologií, např. </w:t>
      </w:r>
    </w:p>
    <w:p w14:paraId="76E60F22" w14:textId="7F05EE3C"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t>solární fotovoltaické a</w:t>
      </w:r>
      <w:r w:rsidR="00CF2351" w:rsidRPr="004A4457">
        <w:rPr>
          <w:rFonts w:asciiTheme="minorHAnsi" w:hAnsiTheme="minorHAnsi"/>
        </w:rPr>
        <w:t> </w:t>
      </w:r>
      <w:r w:rsidRPr="004A4457">
        <w:rPr>
          <w:rFonts w:asciiTheme="minorHAnsi" w:hAnsiTheme="minorHAnsi"/>
        </w:rPr>
        <w:t xml:space="preserve">solární tepelné technologie; </w:t>
      </w:r>
    </w:p>
    <w:p w14:paraId="72DF8C86" w14:textId="65F64055" w:rsidR="005D72CF" w:rsidRPr="004A4457" w:rsidRDefault="005D72CF" w:rsidP="004A4457">
      <w:pPr>
        <w:pStyle w:val="Bullet2"/>
        <w:spacing w:line="276" w:lineRule="auto"/>
        <w:jc w:val="both"/>
        <w:rPr>
          <w:rFonts w:asciiTheme="minorHAnsi" w:hAnsiTheme="minorHAnsi"/>
        </w:rPr>
      </w:pPr>
      <w:r w:rsidRPr="004A4457">
        <w:rPr>
          <w:rFonts w:asciiTheme="minorHAnsi" w:hAnsiTheme="minorHAnsi"/>
        </w:rPr>
        <w:lastRenderedPageBreak/>
        <w:t>pro využití energie větru na pevnině nebo další obnovitelné zdroje na moři, které se týkají výroby elektřiny z</w:t>
      </w:r>
      <w:r w:rsidR="00CF2351" w:rsidRPr="004A4457">
        <w:rPr>
          <w:rFonts w:asciiTheme="minorHAnsi" w:hAnsiTheme="minorHAnsi"/>
        </w:rPr>
        <w:t> </w:t>
      </w:r>
      <w:r w:rsidRPr="004A4457">
        <w:rPr>
          <w:rFonts w:asciiTheme="minorHAnsi" w:hAnsiTheme="minorHAnsi"/>
        </w:rPr>
        <w:t xml:space="preserve">oceánských zdrojů; </w:t>
      </w:r>
    </w:p>
    <w:p w14:paraId="0FE65606" w14:textId="5CD4310E" w:rsidR="00A27944" w:rsidRPr="004A4457" w:rsidRDefault="005D72CF" w:rsidP="004A4457">
      <w:pPr>
        <w:pStyle w:val="Bullet2"/>
        <w:spacing w:line="276" w:lineRule="auto"/>
        <w:jc w:val="both"/>
        <w:rPr>
          <w:rFonts w:asciiTheme="minorHAnsi" w:hAnsiTheme="minorHAnsi"/>
        </w:rPr>
      </w:pPr>
      <w:r w:rsidRPr="004A4457">
        <w:rPr>
          <w:rFonts w:asciiTheme="minorHAnsi" w:hAnsiTheme="minorHAnsi"/>
        </w:rPr>
        <w:t>baterie a</w:t>
      </w:r>
      <w:r w:rsidR="00CF2351" w:rsidRPr="004A4457">
        <w:rPr>
          <w:rFonts w:asciiTheme="minorHAnsi" w:hAnsiTheme="minorHAnsi"/>
        </w:rPr>
        <w:t> </w:t>
      </w:r>
      <w:r w:rsidRPr="004A4457">
        <w:rPr>
          <w:rFonts w:asciiTheme="minorHAnsi" w:hAnsiTheme="minorHAnsi"/>
        </w:rPr>
        <w:t>technologie pro ukládání energie.</w:t>
      </w:r>
    </w:p>
    <w:p w14:paraId="127ED7E2" w14:textId="5EC525B7" w:rsidR="00A27944" w:rsidRPr="004A4457" w:rsidRDefault="00A27944" w:rsidP="004A4457">
      <w:pPr>
        <w:pStyle w:val="Bullet2"/>
        <w:numPr>
          <w:ilvl w:val="0"/>
          <w:numId w:val="140"/>
        </w:numPr>
        <w:spacing w:line="276" w:lineRule="auto"/>
        <w:jc w:val="both"/>
        <w:rPr>
          <w:rFonts w:asciiTheme="minorHAnsi" w:hAnsiTheme="minorHAnsi"/>
        </w:rPr>
      </w:pPr>
      <w:r w:rsidRPr="004A4457">
        <w:rPr>
          <w:rFonts w:asciiTheme="minorHAnsi" w:hAnsiTheme="minorHAnsi"/>
        </w:rPr>
        <w:t>Směrnice Rady 2003/96/ES, kterou se mění struktura rámcových předpisů Společenství o</w:t>
      </w:r>
      <w:r w:rsidR="00CF2351" w:rsidRPr="004A4457">
        <w:rPr>
          <w:rFonts w:asciiTheme="minorHAnsi" w:hAnsiTheme="minorHAnsi"/>
        </w:rPr>
        <w:t> </w:t>
      </w:r>
      <w:r w:rsidRPr="004A4457">
        <w:rPr>
          <w:rFonts w:asciiTheme="minorHAnsi" w:hAnsiTheme="minorHAnsi"/>
        </w:rPr>
        <w:t>zdanění energetických produktů a</w:t>
      </w:r>
      <w:r w:rsidR="00CF2351" w:rsidRPr="004A4457">
        <w:rPr>
          <w:rFonts w:asciiTheme="minorHAnsi" w:hAnsiTheme="minorHAnsi"/>
        </w:rPr>
        <w:t> </w:t>
      </w:r>
      <w:r w:rsidRPr="004A4457">
        <w:rPr>
          <w:rFonts w:asciiTheme="minorHAnsi" w:hAnsiTheme="minorHAnsi"/>
        </w:rPr>
        <w:t>elektřiny (ETD).</w:t>
      </w:r>
    </w:p>
    <w:p w14:paraId="79CE2573" w14:textId="2D531078" w:rsidR="005D72CF" w:rsidRPr="009D0E24" w:rsidRDefault="003B643D" w:rsidP="009D0E24">
      <w:pPr>
        <w:pStyle w:val="Bullet1"/>
        <w:numPr>
          <w:ilvl w:val="0"/>
          <w:numId w:val="140"/>
        </w:numPr>
        <w:spacing w:line="276" w:lineRule="auto"/>
        <w:jc w:val="both"/>
        <w:rPr>
          <w:rFonts w:asciiTheme="minorHAnsi" w:hAnsiTheme="minorHAnsi"/>
        </w:rPr>
      </w:pPr>
      <w:r w:rsidRPr="004A4457">
        <w:rPr>
          <w:rFonts w:asciiTheme="minorHAnsi" w:hAnsiTheme="minorHAnsi"/>
        </w:rPr>
        <w:t>Návrh směrnice o</w:t>
      </w:r>
      <w:r w:rsidR="00CF2351" w:rsidRPr="004A4457">
        <w:rPr>
          <w:rFonts w:asciiTheme="minorHAnsi" w:hAnsiTheme="minorHAnsi"/>
        </w:rPr>
        <w:t> </w:t>
      </w:r>
      <w:r w:rsidRPr="004A4457">
        <w:rPr>
          <w:rFonts w:asciiTheme="minorHAnsi" w:hAnsiTheme="minorHAnsi"/>
        </w:rPr>
        <w:t>společných pravidlech pro vnitřní trhy s</w:t>
      </w:r>
      <w:r w:rsidR="00CF2351" w:rsidRPr="004A4457">
        <w:rPr>
          <w:rFonts w:asciiTheme="minorHAnsi" w:hAnsiTheme="minorHAnsi"/>
        </w:rPr>
        <w:t> </w:t>
      </w:r>
      <w:r w:rsidRPr="004A4457">
        <w:rPr>
          <w:rFonts w:asciiTheme="minorHAnsi" w:hAnsiTheme="minorHAnsi"/>
        </w:rPr>
        <w:t>obnovitelnými a</w:t>
      </w:r>
      <w:r w:rsidR="00CF2351" w:rsidRPr="004A4457">
        <w:rPr>
          <w:rFonts w:asciiTheme="minorHAnsi" w:hAnsiTheme="minorHAnsi"/>
        </w:rPr>
        <w:t> </w:t>
      </w:r>
      <w:r w:rsidRPr="004A4457">
        <w:rPr>
          <w:rFonts w:asciiTheme="minorHAnsi" w:hAnsiTheme="minorHAnsi"/>
        </w:rPr>
        <w:t>zemními plyny a</w:t>
      </w:r>
      <w:r w:rsidR="00CF2351" w:rsidRPr="004A4457">
        <w:rPr>
          <w:rFonts w:asciiTheme="minorHAnsi" w:hAnsiTheme="minorHAnsi"/>
        </w:rPr>
        <w:t> </w:t>
      </w:r>
      <w:r w:rsidRPr="004A4457">
        <w:rPr>
          <w:rFonts w:asciiTheme="minorHAnsi" w:hAnsiTheme="minorHAnsi"/>
        </w:rPr>
        <w:t>s vodíkem (</w:t>
      </w:r>
      <w:r w:rsidRPr="004A4457">
        <w:rPr>
          <w:rFonts w:asciiTheme="minorHAnsi" w:hAnsiTheme="minorHAnsi"/>
          <w:lang w:val="en-GB"/>
        </w:rPr>
        <w:t>Gas Package</w:t>
      </w:r>
      <w:r w:rsidRPr="004A4457">
        <w:rPr>
          <w:rFonts w:asciiTheme="minorHAnsi" w:hAnsiTheme="minorHAnsi"/>
        </w:rPr>
        <w:t>).</w:t>
      </w:r>
    </w:p>
    <w:p w14:paraId="747FA27D" w14:textId="7466A074" w:rsidR="005D72CF" w:rsidRPr="009D0E24" w:rsidRDefault="005D72CF" w:rsidP="004A4457">
      <w:pPr>
        <w:spacing w:line="276" w:lineRule="auto"/>
        <w:jc w:val="both"/>
        <w:rPr>
          <w:rFonts w:asciiTheme="minorHAnsi" w:hAnsiTheme="minorHAnsi"/>
          <w:color w:val="385623" w:themeColor="accent6" w:themeShade="80"/>
          <w:sz w:val="24"/>
          <w:szCs w:val="28"/>
        </w:rPr>
      </w:pPr>
      <w:r w:rsidRPr="009D0E24">
        <w:rPr>
          <w:rFonts w:asciiTheme="minorHAnsi" w:hAnsiTheme="minorHAnsi"/>
          <w:color w:val="385623" w:themeColor="accent6" w:themeShade="80"/>
          <w:sz w:val="24"/>
          <w:szCs w:val="28"/>
        </w:rPr>
        <w:t>Cíle EU a</w:t>
      </w:r>
      <w:r w:rsidR="00CF2351" w:rsidRPr="009D0E24">
        <w:rPr>
          <w:rFonts w:asciiTheme="minorHAnsi" w:hAnsiTheme="minorHAnsi"/>
          <w:color w:val="385623" w:themeColor="accent6" w:themeShade="80"/>
          <w:sz w:val="24"/>
          <w:szCs w:val="28"/>
        </w:rPr>
        <w:t> </w:t>
      </w:r>
      <w:r w:rsidRPr="009D0E24">
        <w:rPr>
          <w:rFonts w:asciiTheme="minorHAnsi" w:hAnsiTheme="minorHAnsi"/>
          <w:color w:val="385623" w:themeColor="accent6" w:themeShade="80"/>
          <w:sz w:val="24"/>
          <w:szCs w:val="28"/>
        </w:rPr>
        <w:t>jejich naplňování</w:t>
      </w:r>
    </w:p>
    <w:p w14:paraId="4563D678" w14:textId="557A6610" w:rsidR="00405A76" w:rsidRPr="004A4457" w:rsidRDefault="005D72CF" w:rsidP="004A4457">
      <w:pPr>
        <w:spacing w:line="276" w:lineRule="auto"/>
        <w:jc w:val="both"/>
        <w:rPr>
          <w:rFonts w:asciiTheme="minorHAnsi" w:hAnsiTheme="minorHAnsi"/>
        </w:rPr>
      </w:pPr>
      <w:r w:rsidRPr="004A4457">
        <w:rPr>
          <w:rFonts w:asciiTheme="minorHAnsi" w:hAnsiTheme="minorHAnsi"/>
        </w:rPr>
        <w:t>Emisemi z</w:t>
      </w:r>
      <w:r w:rsidR="00CF2351" w:rsidRPr="004A4457">
        <w:rPr>
          <w:rFonts w:asciiTheme="minorHAnsi" w:hAnsiTheme="minorHAnsi"/>
        </w:rPr>
        <w:t> </w:t>
      </w:r>
      <w:r w:rsidRPr="004A4457">
        <w:rPr>
          <w:rFonts w:asciiTheme="minorHAnsi" w:hAnsiTheme="minorHAnsi"/>
        </w:rPr>
        <w:t>vozidel se zabývají nařízení, která nastavují emisní limity CO</w:t>
      </w:r>
      <w:r w:rsidRPr="004A4457">
        <w:rPr>
          <w:rFonts w:asciiTheme="minorHAnsi" w:hAnsiTheme="minorHAnsi"/>
          <w:vertAlign w:val="subscript"/>
        </w:rPr>
        <w:t>2</w:t>
      </w:r>
      <w:r w:rsidRPr="004A4457">
        <w:rPr>
          <w:rFonts w:asciiTheme="minorHAnsi" w:hAnsiTheme="minorHAnsi"/>
        </w:rPr>
        <w:t xml:space="preserve"> a</w:t>
      </w:r>
      <w:r w:rsidR="00CF2351" w:rsidRPr="004A4457">
        <w:rPr>
          <w:rFonts w:asciiTheme="minorHAnsi" w:hAnsiTheme="minorHAnsi"/>
        </w:rPr>
        <w:t> </w:t>
      </w:r>
      <w:r w:rsidRPr="004A4457">
        <w:rPr>
          <w:rFonts w:asciiTheme="minorHAnsi" w:hAnsiTheme="minorHAnsi"/>
        </w:rPr>
        <w:t>emisní normy EURO u</w:t>
      </w:r>
      <w:r w:rsidR="00CF2351" w:rsidRPr="004A4457">
        <w:rPr>
          <w:rFonts w:asciiTheme="minorHAnsi" w:hAnsiTheme="minorHAnsi"/>
        </w:rPr>
        <w:t> </w:t>
      </w:r>
      <w:r w:rsidRPr="004A4457">
        <w:rPr>
          <w:rFonts w:asciiTheme="minorHAnsi" w:hAnsiTheme="minorHAnsi"/>
        </w:rPr>
        <w:t>nových vozidel. V</w:t>
      </w:r>
      <w:r w:rsidR="00CF2351" w:rsidRPr="004A4457">
        <w:rPr>
          <w:rFonts w:asciiTheme="minorHAnsi" w:hAnsiTheme="minorHAnsi"/>
        </w:rPr>
        <w:t> </w:t>
      </w:r>
      <w:r w:rsidRPr="004A4457">
        <w:rPr>
          <w:rFonts w:asciiTheme="minorHAnsi" w:hAnsiTheme="minorHAnsi"/>
        </w:rPr>
        <w:t>roce 2009 bylo schváleno první nařízení, které nastavilo emisní limity CO</w:t>
      </w:r>
      <w:r w:rsidRPr="004A4457">
        <w:rPr>
          <w:rFonts w:asciiTheme="minorHAnsi" w:hAnsiTheme="minorHAnsi"/>
          <w:vertAlign w:val="subscript"/>
        </w:rPr>
        <w:t>2</w:t>
      </w:r>
      <w:r w:rsidRPr="004A4457">
        <w:rPr>
          <w:rFonts w:asciiTheme="minorHAnsi" w:hAnsiTheme="minorHAnsi"/>
        </w:rPr>
        <w:t xml:space="preserve"> pro nové osobní automobily ve výši 130 g</w:t>
      </w:r>
      <w:r w:rsidR="00CF2351" w:rsidRPr="004A4457">
        <w:rPr>
          <w:rFonts w:asciiTheme="minorHAnsi" w:hAnsiTheme="minorHAnsi"/>
        </w:rPr>
        <w:t> </w:t>
      </w:r>
      <w:r w:rsidRPr="004A4457">
        <w:rPr>
          <w:rFonts w:asciiTheme="minorHAnsi" w:hAnsiTheme="minorHAnsi"/>
        </w:rPr>
        <w:t>CO</w:t>
      </w:r>
      <w:r w:rsidRPr="004A4457">
        <w:rPr>
          <w:rFonts w:asciiTheme="minorHAnsi" w:hAnsiTheme="minorHAnsi"/>
          <w:vertAlign w:val="subscript"/>
        </w:rPr>
        <w:t>2</w:t>
      </w:r>
      <w:r w:rsidRPr="004A4457">
        <w:rPr>
          <w:rFonts w:asciiTheme="minorHAnsi" w:hAnsiTheme="minorHAnsi"/>
        </w:rPr>
        <w:t>/km od roku 2012</w:t>
      </w:r>
      <w:r w:rsidR="00B93262" w:rsidRPr="004A4457">
        <w:rPr>
          <w:rFonts w:asciiTheme="minorHAnsi" w:hAnsiTheme="minorHAnsi"/>
        </w:rPr>
        <w:t>.</w:t>
      </w:r>
      <w:r w:rsidRPr="004A4457">
        <w:rPr>
          <w:rStyle w:val="Znakapoznpodarou"/>
          <w:rFonts w:asciiTheme="minorHAnsi" w:hAnsiTheme="minorHAnsi"/>
        </w:rPr>
        <w:footnoteReference w:id="4"/>
      </w:r>
      <w:r w:rsidRPr="004A4457">
        <w:rPr>
          <w:rFonts w:asciiTheme="minorHAnsi" w:hAnsiTheme="minorHAnsi"/>
        </w:rPr>
        <w:t xml:space="preserve"> V</w:t>
      </w:r>
      <w:r w:rsidR="00CF2351" w:rsidRPr="004A4457">
        <w:rPr>
          <w:rFonts w:asciiTheme="minorHAnsi" w:hAnsiTheme="minorHAnsi"/>
        </w:rPr>
        <w:t> </w:t>
      </w:r>
      <w:r w:rsidRPr="004A4457">
        <w:rPr>
          <w:rFonts w:asciiTheme="minorHAnsi" w:hAnsiTheme="minorHAnsi"/>
        </w:rPr>
        <w:t>roce 2011 první nařízení pro LUV stanoví průměrné emise CO</w:t>
      </w:r>
      <w:r w:rsidRPr="004A4457">
        <w:rPr>
          <w:rFonts w:asciiTheme="minorHAnsi" w:hAnsiTheme="minorHAnsi"/>
          <w:vertAlign w:val="subscript"/>
        </w:rPr>
        <w:t>2</w:t>
      </w:r>
      <w:r w:rsidRPr="004A4457">
        <w:rPr>
          <w:rFonts w:asciiTheme="minorHAnsi" w:hAnsiTheme="minorHAnsi"/>
        </w:rPr>
        <w:t xml:space="preserve"> ve výši 175 g</w:t>
      </w:r>
      <w:r w:rsidR="00CF2351" w:rsidRPr="004A4457">
        <w:rPr>
          <w:rFonts w:asciiTheme="minorHAnsi" w:hAnsiTheme="minorHAnsi"/>
        </w:rPr>
        <w:t> </w:t>
      </w:r>
      <w:r w:rsidRPr="004A4457">
        <w:rPr>
          <w:rFonts w:asciiTheme="minorHAnsi" w:hAnsiTheme="minorHAnsi"/>
        </w:rPr>
        <w:t>CO</w:t>
      </w:r>
      <w:r w:rsidRPr="004A4457">
        <w:rPr>
          <w:rFonts w:asciiTheme="minorHAnsi" w:hAnsiTheme="minorHAnsi"/>
          <w:vertAlign w:val="subscript"/>
        </w:rPr>
        <w:t>2</w:t>
      </w:r>
      <w:r w:rsidRPr="004A4457">
        <w:rPr>
          <w:rFonts w:asciiTheme="minorHAnsi" w:hAnsiTheme="minorHAnsi"/>
        </w:rPr>
        <w:t>/km od roku 2014</w:t>
      </w:r>
      <w:r w:rsidR="00B93262" w:rsidRPr="004A4457">
        <w:rPr>
          <w:rFonts w:asciiTheme="minorHAnsi" w:hAnsiTheme="minorHAnsi"/>
        </w:rPr>
        <w:t>.</w:t>
      </w:r>
      <w:r w:rsidRPr="004A4457">
        <w:rPr>
          <w:rStyle w:val="Znakapoznpodarou"/>
          <w:rFonts w:asciiTheme="minorHAnsi" w:hAnsiTheme="minorHAnsi"/>
        </w:rPr>
        <w:footnoteReference w:id="5"/>
      </w:r>
      <w:r w:rsidRPr="004A4457">
        <w:rPr>
          <w:rFonts w:asciiTheme="minorHAnsi" w:hAnsiTheme="minorHAnsi"/>
        </w:rPr>
        <w:t xml:space="preserve"> V</w:t>
      </w:r>
      <w:r w:rsidR="00CF2351" w:rsidRPr="004A4457">
        <w:rPr>
          <w:rFonts w:asciiTheme="minorHAnsi" w:hAnsiTheme="minorHAnsi"/>
        </w:rPr>
        <w:t> </w:t>
      </w:r>
      <w:r w:rsidRPr="004A4457">
        <w:rPr>
          <w:rFonts w:asciiTheme="minorHAnsi" w:hAnsiTheme="minorHAnsi"/>
        </w:rPr>
        <w:t xml:space="preserve">roce 2023 bylo schváleno nařízení </w:t>
      </w:r>
      <w:r w:rsidRPr="004A4457">
        <w:rPr>
          <w:rFonts w:asciiTheme="minorHAnsi" w:hAnsiTheme="minorHAnsi"/>
          <w:szCs w:val="22"/>
        </w:rPr>
        <w:t>(EU) 2023/851,</w:t>
      </w:r>
      <w:r w:rsidRPr="004A4457">
        <w:rPr>
          <w:rFonts w:asciiTheme="minorHAnsi" w:hAnsiTheme="minorHAnsi"/>
        </w:rPr>
        <w:t xml:space="preserve"> které v</w:t>
      </w:r>
      <w:r w:rsidR="00CF2351" w:rsidRPr="004A4457">
        <w:rPr>
          <w:rFonts w:asciiTheme="minorHAnsi" w:hAnsiTheme="minorHAnsi"/>
        </w:rPr>
        <w:t> </w:t>
      </w:r>
      <w:r w:rsidRPr="004A4457">
        <w:rPr>
          <w:rFonts w:asciiTheme="minorHAnsi" w:hAnsiTheme="minorHAnsi"/>
        </w:rPr>
        <w:t>zásadě povede k</w:t>
      </w:r>
      <w:r w:rsidR="00CF2351" w:rsidRPr="004A4457">
        <w:rPr>
          <w:rFonts w:asciiTheme="minorHAnsi" w:hAnsiTheme="minorHAnsi"/>
        </w:rPr>
        <w:t> </w:t>
      </w:r>
      <w:r w:rsidRPr="004A4457">
        <w:rPr>
          <w:rFonts w:asciiTheme="minorHAnsi" w:hAnsiTheme="minorHAnsi"/>
        </w:rPr>
        <w:t>ukončení prodejů nových osobních automobilů a</w:t>
      </w:r>
      <w:r w:rsidR="00CF2351" w:rsidRPr="004A4457">
        <w:rPr>
          <w:rFonts w:asciiTheme="minorHAnsi" w:hAnsiTheme="minorHAnsi"/>
        </w:rPr>
        <w:t> </w:t>
      </w:r>
      <w:r w:rsidRPr="004A4457">
        <w:rPr>
          <w:rFonts w:asciiTheme="minorHAnsi" w:hAnsiTheme="minorHAnsi"/>
        </w:rPr>
        <w:t>lehkých užitkových vozidel s</w:t>
      </w:r>
      <w:r w:rsidR="00CF2351" w:rsidRPr="004A4457">
        <w:rPr>
          <w:rFonts w:asciiTheme="minorHAnsi" w:hAnsiTheme="minorHAnsi"/>
        </w:rPr>
        <w:t> </w:t>
      </w:r>
      <w:r w:rsidRPr="004A4457">
        <w:rPr>
          <w:rFonts w:asciiTheme="minorHAnsi" w:hAnsiTheme="minorHAnsi"/>
        </w:rPr>
        <w:t xml:space="preserve">klasickým spalovacím motorem od roku 2035. </w:t>
      </w:r>
    </w:p>
    <w:p w14:paraId="0B6FDA80" w14:textId="0E41EA65" w:rsidR="00E2771B" w:rsidRPr="004A4457" w:rsidRDefault="00E2771B" w:rsidP="004A4457">
      <w:pPr>
        <w:pStyle w:val="Odstavecseseznamem"/>
        <w:numPr>
          <w:ilvl w:val="0"/>
          <w:numId w:val="149"/>
        </w:numPr>
        <w:spacing w:line="276" w:lineRule="auto"/>
        <w:jc w:val="both"/>
        <w:rPr>
          <w:rFonts w:asciiTheme="minorHAnsi" w:hAnsiTheme="minorHAnsi"/>
        </w:rPr>
      </w:pPr>
      <w:r w:rsidRPr="004A4457">
        <w:rPr>
          <w:rFonts w:asciiTheme="minorHAnsi" w:hAnsiTheme="minorHAnsi"/>
        </w:rPr>
        <w:t>Nařízení Komise v</w:t>
      </w:r>
      <w:r w:rsidR="00CF2351" w:rsidRPr="004A4457">
        <w:rPr>
          <w:rFonts w:asciiTheme="minorHAnsi" w:hAnsiTheme="minorHAnsi"/>
        </w:rPr>
        <w:t> </w:t>
      </w:r>
      <w:r w:rsidRPr="004A4457">
        <w:rPr>
          <w:rFonts w:asciiTheme="minorHAnsi" w:hAnsiTheme="minorHAnsi"/>
        </w:rPr>
        <w:t>přenesené pravomoci (EU) 2024/1127 ze dne 8. února 2024, kterým se doplňuje nařízení Evropského parlamentu a</w:t>
      </w:r>
      <w:r w:rsidR="00CF2351" w:rsidRPr="004A4457">
        <w:rPr>
          <w:rFonts w:asciiTheme="minorHAnsi" w:hAnsiTheme="minorHAnsi"/>
        </w:rPr>
        <w:t> </w:t>
      </w:r>
      <w:r w:rsidRPr="004A4457">
        <w:rPr>
          <w:rFonts w:asciiTheme="minorHAnsi" w:hAnsiTheme="minorHAnsi"/>
        </w:rPr>
        <w:t>Rady (EU) 2019/1242 stanovením hlavních zásad a</w:t>
      </w:r>
      <w:r w:rsidR="00CF2351" w:rsidRPr="004A4457">
        <w:rPr>
          <w:rFonts w:asciiTheme="minorHAnsi" w:hAnsiTheme="minorHAnsi"/>
        </w:rPr>
        <w:t> </w:t>
      </w:r>
      <w:r w:rsidRPr="004A4457">
        <w:rPr>
          <w:rFonts w:asciiTheme="minorHAnsi" w:hAnsiTheme="minorHAnsi"/>
        </w:rPr>
        <w:t>kritérií pro určení postupů ověřování hodnot emisí CO</w:t>
      </w:r>
      <w:r w:rsidRPr="004A4457">
        <w:rPr>
          <w:rFonts w:asciiTheme="minorHAnsi" w:hAnsiTheme="minorHAnsi"/>
          <w:vertAlign w:val="subscript"/>
        </w:rPr>
        <w:t>2</w:t>
      </w:r>
      <w:r w:rsidRPr="004A4457">
        <w:rPr>
          <w:rFonts w:asciiTheme="minorHAnsi" w:hAnsiTheme="minorHAnsi"/>
        </w:rPr>
        <w:t xml:space="preserve"> a</w:t>
      </w:r>
      <w:r w:rsidR="00CF2351" w:rsidRPr="004A4457">
        <w:rPr>
          <w:rFonts w:asciiTheme="minorHAnsi" w:hAnsiTheme="minorHAnsi"/>
        </w:rPr>
        <w:t> </w:t>
      </w:r>
      <w:r w:rsidRPr="004A4457">
        <w:rPr>
          <w:rFonts w:asciiTheme="minorHAnsi" w:hAnsiTheme="minorHAnsi"/>
        </w:rPr>
        <w:t>spotřeby paliva u</w:t>
      </w:r>
      <w:r w:rsidR="00CF2351" w:rsidRPr="004A4457">
        <w:rPr>
          <w:rFonts w:asciiTheme="minorHAnsi" w:hAnsiTheme="minorHAnsi"/>
        </w:rPr>
        <w:t> </w:t>
      </w:r>
      <w:r w:rsidRPr="004A4457">
        <w:rPr>
          <w:rFonts w:asciiTheme="minorHAnsi" w:hAnsiTheme="minorHAnsi"/>
        </w:rPr>
        <w:t>těžkých vozidel v</w:t>
      </w:r>
      <w:r w:rsidR="00CF2351" w:rsidRPr="004A4457">
        <w:rPr>
          <w:rFonts w:asciiTheme="minorHAnsi" w:hAnsiTheme="minorHAnsi"/>
        </w:rPr>
        <w:t> </w:t>
      </w:r>
      <w:r w:rsidRPr="004A4457">
        <w:rPr>
          <w:rFonts w:asciiTheme="minorHAnsi" w:hAnsiTheme="minorHAnsi"/>
        </w:rPr>
        <w:t>provozu (ověřování v</w:t>
      </w:r>
      <w:r w:rsidR="00CF2351" w:rsidRPr="004A4457">
        <w:rPr>
          <w:rFonts w:asciiTheme="minorHAnsi" w:hAnsiTheme="minorHAnsi"/>
        </w:rPr>
        <w:t> </w:t>
      </w:r>
      <w:r w:rsidRPr="004A4457">
        <w:rPr>
          <w:rFonts w:asciiTheme="minorHAnsi" w:hAnsiTheme="minorHAnsi"/>
        </w:rPr>
        <w:t xml:space="preserve">provozu) </w:t>
      </w:r>
    </w:p>
    <w:p w14:paraId="566511B1" w14:textId="06124B55" w:rsidR="00E2771B" w:rsidRPr="004A4457" w:rsidRDefault="00E2771B" w:rsidP="004A4457">
      <w:pPr>
        <w:pStyle w:val="Odstavecseseznamem"/>
        <w:numPr>
          <w:ilvl w:val="1"/>
          <w:numId w:val="149"/>
        </w:numPr>
        <w:spacing w:line="276" w:lineRule="auto"/>
        <w:jc w:val="both"/>
        <w:rPr>
          <w:rFonts w:asciiTheme="minorHAnsi" w:hAnsiTheme="minorHAnsi"/>
        </w:rPr>
      </w:pPr>
      <w:r w:rsidRPr="004A4457">
        <w:rPr>
          <w:rFonts w:asciiTheme="minorHAnsi" w:hAnsiTheme="minorHAnsi"/>
        </w:rPr>
        <w:t>15 % pro podskupiny vozidel 4-UD, 4-RD, 4-LH, 5-RD, 5-LH, 9-RD, 9-LH, 10</w:t>
      </w:r>
      <w:r w:rsidR="00F819FC" w:rsidRPr="004A4457">
        <w:rPr>
          <w:rFonts w:asciiTheme="minorHAnsi" w:hAnsiTheme="minorHAnsi"/>
        </w:rPr>
        <w:t> </w:t>
      </w:r>
      <w:r w:rsidRPr="004A4457">
        <w:rPr>
          <w:rFonts w:asciiTheme="minorHAnsi" w:hAnsiTheme="minorHAnsi"/>
        </w:rPr>
        <w:t>RD a</w:t>
      </w:r>
      <w:r w:rsidR="00CF2351" w:rsidRPr="004A4457">
        <w:rPr>
          <w:rFonts w:asciiTheme="minorHAnsi" w:hAnsiTheme="minorHAnsi"/>
        </w:rPr>
        <w:t> </w:t>
      </w:r>
      <w:r w:rsidRPr="004A4457">
        <w:rPr>
          <w:rFonts w:asciiTheme="minorHAnsi" w:hAnsiTheme="minorHAnsi"/>
        </w:rPr>
        <w:t>10-LH za vykazovaná období let 2025 až 2029;</w:t>
      </w:r>
    </w:p>
    <w:p w14:paraId="07B41674" w14:textId="55F1C868" w:rsidR="00E2771B" w:rsidRPr="004A4457" w:rsidRDefault="00E2771B" w:rsidP="004A4457">
      <w:pPr>
        <w:pStyle w:val="Odstavecseseznamem"/>
        <w:numPr>
          <w:ilvl w:val="1"/>
          <w:numId w:val="149"/>
        </w:numPr>
        <w:spacing w:line="276" w:lineRule="auto"/>
        <w:jc w:val="both"/>
        <w:rPr>
          <w:rFonts w:asciiTheme="minorHAnsi" w:hAnsiTheme="minorHAnsi"/>
        </w:rPr>
      </w:pPr>
      <w:r w:rsidRPr="004A4457">
        <w:rPr>
          <w:rFonts w:asciiTheme="minorHAnsi" w:hAnsiTheme="minorHAnsi"/>
        </w:rPr>
        <w:t>45 % pro všechny podskupiny vozidel jiných než účelových vozidel za vykazovaná období let 2030 až 2034;</w:t>
      </w:r>
    </w:p>
    <w:p w14:paraId="3DDFD0E0" w14:textId="07D3D4D5" w:rsidR="00E2771B" w:rsidRPr="004A4457" w:rsidRDefault="00E2771B" w:rsidP="004A4457">
      <w:pPr>
        <w:pStyle w:val="Odstavecseseznamem"/>
        <w:numPr>
          <w:ilvl w:val="1"/>
          <w:numId w:val="149"/>
        </w:numPr>
        <w:spacing w:line="276" w:lineRule="auto"/>
        <w:jc w:val="both"/>
        <w:rPr>
          <w:rFonts w:asciiTheme="minorHAnsi" w:hAnsiTheme="minorHAnsi"/>
        </w:rPr>
      </w:pPr>
      <w:r w:rsidRPr="004A4457">
        <w:rPr>
          <w:rFonts w:asciiTheme="minorHAnsi" w:hAnsiTheme="minorHAnsi"/>
        </w:rPr>
        <w:t>65 % pro všechny podskupiny vozidel za vykazovaná období let 2035 až 2039;</w:t>
      </w:r>
    </w:p>
    <w:p w14:paraId="3A31FE0C" w14:textId="77D22F4F" w:rsidR="005D72CF" w:rsidRPr="004A4457" w:rsidRDefault="00E2771B" w:rsidP="004A4457">
      <w:pPr>
        <w:pStyle w:val="Odstavecseseznamem"/>
        <w:numPr>
          <w:ilvl w:val="1"/>
          <w:numId w:val="149"/>
        </w:numPr>
        <w:spacing w:line="276" w:lineRule="auto"/>
        <w:jc w:val="both"/>
        <w:rPr>
          <w:rFonts w:asciiTheme="minorHAnsi" w:hAnsiTheme="minorHAnsi"/>
        </w:rPr>
      </w:pPr>
      <w:r w:rsidRPr="004A4457">
        <w:rPr>
          <w:rFonts w:asciiTheme="minorHAnsi" w:hAnsiTheme="minorHAnsi"/>
        </w:rPr>
        <w:t>90 % pro všechny podskupiny vozidel za vykazovaná období od roku 2040.</w:t>
      </w:r>
    </w:p>
    <w:p w14:paraId="2AEBE169" w14:textId="53AA5A04" w:rsidR="005D72CF" w:rsidRPr="004A4457" w:rsidRDefault="005D72CF" w:rsidP="004A4457">
      <w:pPr>
        <w:spacing w:line="276" w:lineRule="auto"/>
        <w:jc w:val="both"/>
        <w:rPr>
          <w:rFonts w:asciiTheme="minorHAnsi" w:hAnsiTheme="minorHAnsi"/>
        </w:rPr>
      </w:pPr>
      <w:r w:rsidRPr="004A4457">
        <w:rPr>
          <w:rFonts w:asciiTheme="minorHAnsi" w:hAnsiTheme="minorHAnsi"/>
        </w:rPr>
        <w:t>V listopadu roku 2022 představila Evropská komise návrh nových norem Euro 7</w:t>
      </w:r>
      <w:r w:rsidR="00B93262" w:rsidRPr="004A4457">
        <w:rPr>
          <w:rFonts w:asciiTheme="minorHAnsi" w:hAnsiTheme="minorHAnsi"/>
        </w:rPr>
        <w:t>,</w:t>
      </w:r>
      <w:r w:rsidRPr="004A4457">
        <w:rPr>
          <w:rStyle w:val="Znakapoznpodarou"/>
          <w:rFonts w:asciiTheme="minorHAnsi" w:hAnsiTheme="minorHAnsi"/>
        </w:rPr>
        <w:footnoteReference w:id="6"/>
      </w:r>
      <w:r w:rsidRPr="004A4457">
        <w:rPr>
          <w:rFonts w:asciiTheme="minorHAnsi" w:hAnsiTheme="minorHAnsi"/>
        </w:rPr>
        <w:t xml:space="preserve"> které sjednotí limity pro benzinové a</w:t>
      </w:r>
      <w:r w:rsidR="00CF2351" w:rsidRPr="004A4457">
        <w:rPr>
          <w:rFonts w:asciiTheme="minorHAnsi" w:hAnsiTheme="minorHAnsi"/>
        </w:rPr>
        <w:t> </w:t>
      </w:r>
      <w:r w:rsidRPr="004A4457">
        <w:rPr>
          <w:rFonts w:asciiTheme="minorHAnsi" w:hAnsiTheme="minorHAnsi"/>
        </w:rPr>
        <w:t>dieselové motory a</w:t>
      </w:r>
      <w:r w:rsidR="00CF2351" w:rsidRPr="004A4457">
        <w:rPr>
          <w:rFonts w:asciiTheme="minorHAnsi" w:hAnsiTheme="minorHAnsi"/>
        </w:rPr>
        <w:t> </w:t>
      </w:r>
      <w:r w:rsidRPr="004A4457">
        <w:rPr>
          <w:rFonts w:asciiTheme="minorHAnsi" w:hAnsiTheme="minorHAnsi"/>
        </w:rPr>
        <w:t>zdvojnásobí se doba, po kterou budou muset vozidla tyto normy plnit, a</w:t>
      </w:r>
      <w:r w:rsidR="00CF2351" w:rsidRPr="004A4457">
        <w:rPr>
          <w:rFonts w:asciiTheme="minorHAnsi" w:hAnsiTheme="minorHAnsi"/>
        </w:rPr>
        <w:t> </w:t>
      </w:r>
      <w:r w:rsidRPr="004A4457">
        <w:rPr>
          <w:rFonts w:asciiTheme="minorHAnsi" w:hAnsiTheme="minorHAnsi"/>
        </w:rPr>
        <w:t>kromě emisí se bude vztahovat i</w:t>
      </w:r>
      <w:r w:rsidR="00CF2351" w:rsidRPr="004A4457">
        <w:rPr>
          <w:rFonts w:asciiTheme="minorHAnsi" w:hAnsiTheme="minorHAnsi"/>
        </w:rPr>
        <w:t> </w:t>
      </w:r>
      <w:r w:rsidRPr="004A4457">
        <w:rPr>
          <w:rFonts w:asciiTheme="minorHAnsi" w:hAnsiTheme="minorHAnsi"/>
        </w:rPr>
        <w:t>na otěr z</w:t>
      </w:r>
      <w:r w:rsidR="00CF2351" w:rsidRPr="004A4457">
        <w:rPr>
          <w:rFonts w:asciiTheme="minorHAnsi" w:hAnsiTheme="minorHAnsi"/>
        </w:rPr>
        <w:t> </w:t>
      </w:r>
      <w:r w:rsidRPr="004A4457">
        <w:rPr>
          <w:rFonts w:asciiTheme="minorHAnsi" w:hAnsiTheme="minorHAnsi"/>
        </w:rPr>
        <w:t>brzd a</w:t>
      </w:r>
      <w:r w:rsidR="00CF2351" w:rsidRPr="004A4457">
        <w:rPr>
          <w:rFonts w:asciiTheme="minorHAnsi" w:hAnsiTheme="minorHAnsi"/>
        </w:rPr>
        <w:t> </w:t>
      </w:r>
      <w:r w:rsidRPr="004A4457">
        <w:rPr>
          <w:rFonts w:asciiTheme="minorHAnsi" w:hAnsiTheme="minorHAnsi"/>
        </w:rPr>
        <w:t>pneumatik. Nařízení zahrnuje osobní, lehká i</w:t>
      </w:r>
      <w:r w:rsidR="00CF2351" w:rsidRPr="004A4457">
        <w:rPr>
          <w:rFonts w:asciiTheme="minorHAnsi" w:hAnsiTheme="minorHAnsi"/>
        </w:rPr>
        <w:t> </w:t>
      </w:r>
      <w:r w:rsidRPr="004A4457">
        <w:rPr>
          <w:rFonts w:asciiTheme="minorHAnsi" w:hAnsiTheme="minorHAnsi"/>
        </w:rPr>
        <w:t>těžká užitková vozidla.</w:t>
      </w:r>
    </w:p>
    <w:p w14:paraId="363344D3" w14:textId="69317789" w:rsidR="005D72CF" w:rsidRPr="004A4457" w:rsidRDefault="005D72CF" w:rsidP="004A4457">
      <w:pPr>
        <w:spacing w:line="276" w:lineRule="auto"/>
        <w:jc w:val="both"/>
        <w:rPr>
          <w:rFonts w:asciiTheme="minorHAnsi" w:hAnsiTheme="minorHAnsi"/>
        </w:rPr>
      </w:pPr>
      <w:r w:rsidRPr="004A4457">
        <w:rPr>
          <w:rFonts w:asciiTheme="minorHAnsi" w:hAnsiTheme="minorHAnsi"/>
        </w:rPr>
        <w:t>Automobilový průmysl v</w:t>
      </w:r>
      <w:r w:rsidR="00CF2351" w:rsidRPr="004A4457">
        <w:rPr>
          <w:rFonts w:asciiTheme="minorHAnsi" w:hAnsiTheme="minorHAnsi"/>
        </w:rPr>
        <w:t> </w:t>
      </w:r>
      <w:r w:rsidRPr="004A4457">
        <w:rPr>
          <w:rFonts w:asciiTheme="minorHAnsi" w:hAnsiTheme="minorHAnsi"/>
        </w:rPr>
        <w:t>současnosti prochází zásadní proměnou. Od výroby klasických spalovacích motorů využívající klasická paliva benzín a</w:t>
      </w:r>
      <w:r w:rsidR="00CF2351" w:rsidRPr="004A4457">
        <w:rPr>
          <w:rFonts w:asciiTheme="minorHAnsi" w:hAnsiTheme="minorHAnsi"/>
        </w:rPr>
        <w:t> </w:t>
      </w:r>
      <w:r w:rsidRPr="004A4457">
        <w:rPr>
          <w:rFonts w:asciiTheme="minorHAnsi" w:hAnsiTheme="minorHAnsi"/>
        </w:rPr>
        <w:t>naftu se přeorientovává na produkci vozidel na alternativní paliva, aby v</w:t>
      </w:r>
      <w:r w:rsidR="00CF2351" w:rsidRPr="004A4457">
        <w:rPr>
          <w:rFonts w:asciiTheme="minorHAnsi" w:hAnsiTheme="minorHAnsi"/>
        </w:rPr>
        <w:t> </w:t>
      </w:r>
      <w:r w:rsidRPr="004A4457">
        <w:rPr>
          <w:rFonts w:asciiTheme="minorHAnsi" w:hAnsiTheme="minorHAnsi"/>
        </w:rPr>
        <w:t>budoucnosti v</w:t>
      </w:r>
      <w:r w:rsidR="00CF2351" w:rsidRPr="004A4457">
        <w:rPr>
          <w:rFonts w:asciiTheme="minorHAnsi" w:hAnsiTheme="minorHAnsi"/>
        </w:rPr>
        <w:t> </w:t>
      </w:r>
      <w:r w:rsidRPr="004A4457">
        <w:rPr>
          <w:rFonts w:asciiTheme="minorHAnsi" w:hAnsiTheme="minorHAnsi"/>
        </w:rPr>
        <w:t>dopravě byla využívána pouze bezemisní vozidla. Zároveň se stále více prosazují prvky autonomního řízení v</w:t>
      </w:r>
      <w:r w:rsidR="00CF2351" w:rsidRPr="004A4457">
        <w:rPr>
          <w:rFonts w:asciiTheme="minorHAnsi" w:hAnsiTheme="minorHAnsi"/>
        </w:rPr>
        <w:t> </w:t>
      </w:r>
      <w:r w:rsidRPr="004A4457">
        <w:rPr>
          <w:rFonts w:asciiTheme="minorHAnsi" w:hAnsiTheme="minorHAnsi"/>
        </w:rPr>
        <w:t>dopravě. V</w:t>
      </w:r>
      <w:r w:rsidR="00CF2351" w:rsidRPr="004A4457">
        <w:rPr>
          <w:rFonts w:asciiTheme="minorHAnsi" w:hAnsiTheme="minorHAnsi"/>
        </w:rPr>
        <w:t> </w:t>
      </w:r>
      <w:r w:rsidRPr="004A4457">
        <w:rPr>
          <w:rFonts w:asciiTheme="minorHAnsi" w:hAnsiTheme="minorHAnsi"/>
        </w:rPr>
        <w:t xml:space="preserve">některých státech se začíná objevovat autonomní taxislužba, či rozvážková služba. </w:t>
      </w:r>
    </w:p>
    <w:p w14:paraId="67E417A9" w14:textId="494C1C00" w:rsidR="005D72CF" w:rsidRPr="004A4457" w:rsidRDefault="005D72CF" w:rsidP="004A4457">
      <w:pPr>
        <w:spacing w:line="276" w:lineRule="auto"/>
        <w:jc w:val="both"/>
        <w:rPr>
          <w:rFonts w:asciiTheme="minorHAnsi" w:hAnsiTheme="minorHAnsi"/>
        </w:rPr>
      </w:pPr>
      <w:r w:rsidRPr="004A4457">
        <w:rPr>
          <w:rFonts w:asciiTheme="minorHAnsi" w:hAnsiTheme="minorHAnsi"/>
        </w:rPr>
        <w:t>Na podporu automobilového průmyslu a</w:t>
      </w:r>
      <w:r w:rsidR="00CF2351" w:rsidRPr="004A4457">
        <w:rPr>
          <w:rFonts w:asciiTheme="minorHAnsi" w:hAnsiTheme="minorHAnsi"/>
        </w:rPr>
        <w:t> </w:t>
      </w:r>
      <w:r w:rsidRPr="004A4457">
        <w:rPr>
          <w:rFonts w:asciiTheme="minorHAnsi" w:hAnsiTheme="minorHAnsi"/>
        </w:rPr>
        <w:t>k dosažení cílů v</w:t>
      </w:r>
      <w:r w:rsidR="00CF2351" w:rsidRPr="004A4457">
        <w:rPr>
          <w:rFonts w:asciiTheme="minorHAnsi" w:hAnsiTheme="minorHAnsi"/>
        </w:rPr>
        <w:t> </w:t>
      </w:r>
      <w:r w:rsidRPr="004A4457">
        <w:rPr>
          <w:rFonts w:asciiTheme="minorHAnsi" w:hAnsiTheme="minorHAnsi"/>
        </w:rPr>
        <w:t>oblasti snižování emisí CO</w:t>
      </w:r>
      <w:r w:rsidRPr="004A4457">
        <w:rPr>
          <w:rFonts w:asciiTheme="minorHAnsi" w:hAnsiTheme="minorHAnsi"/>
          <w:vertAlign w:val="subscript"/>
        </w:rPr>
        <w:t>2</w:t>
      </w:r>
      <w:r w:rsidRPr="004A4457">
        <w:rPr>
          <w:rFonts w:asciiTheme="minorHAnsi" w:hAnsiTheme="minorHAnsi"/>
        </w:rPr>
        <w:t xml:space="preserve"> mnoho států přijímá akční plány čisté mobility. ČR schválila první NAP CM v</w:t>
      </w:r>
      <w:r w:rsidR="00CF2351" w:rsidRPr="004A4457">
        <w:rPr>
          <w:rFonts w:asciiTheme="minorHAnsi" w:hAnsiTheme="minorHAnsi"/>
        </w:rPr>
        <w:t> </w:t>
      </w:r>
      <w:r w:rsidRPr="004A4457">
        <w:rPr>
          <w:rFonts w:asciiTheme="minorHAnsi" w:hAnsiTheme="minorHAnsi"/>
        </w:rPr>
        <w:t>roce 2015, na základě Směrnice Evropského parlamentu a</w:t>
      </w:r>
      <w:r w:rsidR="00CF2351" w:rsidRPr="004A4457">
        <w:rPr>
          <w:rFonts w:asciiTheme="minorHAnsi" w:hAnsiTheme="minorHAnsi"/>
        </w:rPr>
        <w:t> </w:t>
      </w:r>
      <w:r w:rsidRPr="004A4457">
        <w:rPr>
          <w:rFonts w:asciiTheme="minorHAnsi" w:hAnsiTheme="minorHAnsi"/>
        </w:rPr>
        <w:t xml:space="preserve">Rady 2014/94/EU ze dne 22. </w:t>
      </w:r>
      <w:r w:rsidR="00B93262" w:rsidRPr="004A4457">
        <w:rPr>
          <w:rFonts w:asciiTheme="minorHAnsi" w:hAnsiTheme="minorHAnsi"/>
        </w:rPr>
        <w:t>října</w:t>
      </w:r>
      <w:r w:rsidRPr="004A4457">
        <w:rPr>
          <w:rFonts w:asciiTheme="minorHAnsi" w:hAnsiTheme="minorHAnsi"/>
        </w:rPr>
        <w:t xml:space="preserve"> 2014 o</w:t>
      </w:r>
      <w:r w:rsidR="00CF2351" w:rsidRPr="004A4457">
        <w:rPr>
          <w:rFonts w:asciiTheme="minorHAnsi" w:hAnsiTheme="minorHAnsi"/>
        </w:rPr>
        <w:t> </w:t>
      </w:r>
      <w:r w:rsidRPr="004A4457">
        <w:rPr>
          <w:rFonts w:asciiTheme="minorHAnsi" w:hAnsiTheme="minorHAnsi"/>
        </w:rPr>
        <w:t xml:space="preserve">zavádění infrastruktury pro alternativní paliva. NAP CM obsahoval opatření na podporu rozvoje vozidel na alternativní paliva. </w:t>
      </w:r>
      <w:r w:rsidRPr="004A4457">
        <w:rPr>
          <w:rFonts w:asciiTheme="minorHAnsi" w:hAnsiTheme="minorHAnsi"/>
        </w:rPr>
        <w:lastRenderedPageBreak/>
        <w:t>V</w:t>
      </w:r>
      <w:r w:rsidR="00CF2351" w:rsidRPr="004A4457">
        <w:rPr>
          <w:rFonts w:asciiTheme="minorHAnsi" w:hAnsiTheme="minorHAnsi"/>
        </w:rPr>
        <w:t> </w:t>
      </w:r>
      <w:r w:rsidRPr="004A4457">
        <w:rPr>
          <w:rFonts w:asciiTheme="minorHAnsi" w:hAnsiTheme="minorHAnsi"/>
        </w:rPr>
        <w:t>roce 2019 došlo k</w:t>
      </w:r>
      <w:r w:rsidR="00CF2351" w:rsidRPr="004A4457">
        <w:rPr>
          <w:rFonts w:asciiTheme="minorHAnsi" w:hAnsiTheme="minorHAnsi"/>
        </w:rPr>
        <w:t> </w:t>
      </w:r>
      <w:r w:rsidRPr="004A4457">
        <w:rPr>
          <w:rFonts w:asciiTheme="minorHAnsi" w:hAnsiTheme="minorHAnsi"/>
        </w:rPr>
        <w:t>jeho aktualizaci na základě nových unijních legislativních a</w:t>
      </w:r>
      <w:r w:rsidR="00CF2351" w:rsidRPr="004A4457">
        <w:rPr>
          <w:rFonts w:asciiTheme="minorHAnsi" w:hAnsiTheme="minorHAnsi"/>
        </w:rPr>
        <w:t> </w:t>
      </w:r>
      <w:r w:rsidRPr="004A4457">
        <w:rPr>
          <w:rFonts w:asciiTheme="minorHAnsi" w:hAnsiTheme="minorHAnsi"/>
        </w:rPr>
        <w:t>nelegislativních dokumentů v</w:t>
      </w:r>
      <w:r w:rsidR="00CF2351" w:rsidRPr="004A4457">
        <w:rPr>
          <w:rFonts w:asciiTheme="minorHAnsi" w:hAnsiTheme="minorHAnsi"/>
        </w:rPr>
        <w:t> </w:t>
      </w:r>
      <w:r w:rsidRPr="004A4457">
        <w:rPr>
          <w:rFonts w:asciiTheme="minorHAnsi" w:hAnsiTheme="minorHAnsi"/>
        </w:rPr>
        <w:t>oblasti snižování emisí v</w:t>
      </w:r>
      <w:r w:rsidR="00CF2351" w:rsidRPr="004A4457">
        <w:rPr>
          <w:rFonts w:asciiTheme="minorHAnsi" w:hAnsiTheme="minorHAnsi"/>
        </w:rPr>
        <w:t> </w:t>
      </w:r>
      <w:r w:rsidRPr="004A4457">
        <w:rPr>
          <w:rFonts w:asciiTheme="minorHAnsi" w:hAnsiTheme="minorHAnsi"/>
        </w:rPr>
        <w:t>dopravě a</w:t>
      </w:r>
      <w:r w:rsidR="00CF2351" w:rsidRPr="004A4457">
        <w:rPr>
          <w:rFonts w:asciiTheme="minorHAnsi" w:hAnsiTheme="minorHAnsi"/>
        </w:rPr>
        <w:t> </w:t>
      </w:r>
      <w:r w:rsidRPr="004A4457">
        <w:rPr>
          <w:rFonts w:asciiTheme="minorHAnsi" w:hAnsiTheme="minorHAnsi"/>
        </w:rPr>
        <w:t>požadavcích na podíl obnovitelných zdrojů energie v</w:t>
      </w:r>
      <w:r w:rsidR="00CF2351" w:rsidRPr="004A4457">
        <w:rPr>
          <w:rFonts w:asciiTheme="minorHAnsi" w:hAnsiTheme="minorHAnsi"/>
        </w:rPr>
        <w:t> </w:t>
      </w:r>
      <w:r w:rsidRPr="004A4457">
        <w:rPr>
          <w:rFonts w:asciiTheme="minorHAnsi" w:hAnsiTheme="minorHAnsi"/>
        </w:rPr>
        <w:t xml:space="preserve">dopravě. </w:t>
      </w:r>
    </w:p>
    <w:p w14:paraId="346C9366" w14:textId="2BC4715D" w:rsidR="005F73AF" w:rsidRPr="004A4457" w:rsidRDefault="005D72CF" w:rsidP="004A4457">
      <w:pPr>
        <w:spacing w:line="276" w:lineRule="auto"/>
        <w:jc w:val="both"/>
        <w:rPr>
          <w:rFonts w:asciiTheme="minorHAnsi" w:hAnsiTheme="minorHAnsi"/>
        </w:rPr>
      </w:pPr>
      <w:r w:rsidRPr="004A4457">
        <w:rPr>
          <w:rFonts w:asciiTheme="minorHAnsi" w:hAnsiTheme="minorHAnsi"/>
        </w:rPr>
        <w:t>Současná aktualizace NAP CM vychází z</w:t>
      </w:r>
      <w:r w:rsidR="00CF2351" w:rsidRPr="004A4457">
        <w:rPr>
          <w:rFonts w:asciiTheme="minorHAnsi" w:hAnsiTheme="minorHAnsi"/>
        </w:rPr>
        <w:t> </w:t>
      </w:r>
      <w:r w:rsidRPr="004A4457">
        <w:rPr>
          <w:rFonts w:asciiTheme="minorHAnsi" w:hAnsiTheme="minorHAnsi"/>
        </w:rPr>
        <w:t>požadavků schváleného nařízení Evropského parlamentu a</w:t>
      </w:r>
      <w:r w:rsidR="00CF2351" w:rsidRPr="004A4457">
        <w:rPr>
          <w:rFonts w:asciiTheme="minorHAnsi" w:hAnsiTheme="minorHAnsi"/>
        </w:rPr>
        <w:t> </w:t>
      </w:r>
      <w:r w:rsidRPr="004A4457">
        <w:rPr>
          <w:rFonts w:asciiTheme="minorHAnsi" w:hAnsiTheme="minorHAnsi"/>
        </w:rPr>
        <w:t>Rady o</w:t>
      </w:r>
      <w:r w:rsidR="00CF2351" w:rsidRPr="004A4457">
        <w:rPr>
          <w:rFonts w:asciiTheme="minorHAnsi" w:hAnsiTheme="minorHAnsi"/>
        </w:rPr>
        <w:t> </w:t>
      </w:r>
      <w:r w:rsidRPr="004A4457">
        <w:rPr>
          <w:rFonts w:asciiTheme="minorHAnsi" w:hAnsiTheme="minorHAnsi"/>
        </w:rPr>
        <w:t>zavádění infrastruktury pro alternativní paliva a</w:t>
      </w:r>
      <w:r w:rsidR="00CF2351" w:rsidRPr="004A4457">
        <w:rPr>
          <w:rFonts w:asciiTheme="minorHAnsi" w:hAnsiTheme="minorHAnsi"/>
        </w:rPr>
        <w:t> </w:t>
      </w:r>
      <w:r w:rsidRPr="004A4457">
        <w:rPr>
          <w:rFonts w:asciiTheme="minorHAnsi" w:hAnsiTheme="minorHAnsi"/>
        </w:rPr>
        <w:t>o zrušení směrnice Evropského parlamentu a</w:t>
      </w:r>
      <w:r w:rsidR="00CF2351" w:rsidRPr="004A4457">
        <w:rPr>
          <w:rFonts w:asciiTheme="minorHAnsi" w:hAnsiTheme="minorHAnsi"/>
        </w:rPr>
        <w:t> </w:t>
      </w:r>
      <w:r w:rsidRPr="004A4457">
        <w:rPr>
          <w:rFonts w:asciiTheme="minorHAnsi" w:hAnsiTheme="minorHAnsi"/>
        </w:rPr>
        <w:t>Rady 2014/94/EU (tzv. AFIR). Nově se bude NAP CM zaměřovat více i</w:t>
      </w:r>
      <w:r w:rsidR="00CF2351" w:rsidRPr="004A4457">
        <w:rPr>
          <w:rFonts w:asciiTheme="minorHAnsi" w:hAnsiTheme="minorHAnsi"/>
        </w:rPr>
        <w:t> </w:t>
      </w:r>
      <w:r w:rsidRPr="004A4457">
        <w:rPr>
          <w:rFonts w:asciiTheme="minorHAnsi" w:hAnsiTheme="minorHAnsi"/>
        </w:rPr>
        <w:t>na železniční a</w:t>
      </w:r>
      <w:r w:rsidR="00CF2351" w:rsidRPr="004A4457">
        <w:rPr>
          <w:rFonts w:asciiTheme="minorHAnsi" w:hAnsiTheme="minorHAnsi"/>
        </w:rPr>
        <w:t> </w:t>
      </w:r>
      <w:r w:rsidRPr="004A4457">
        <w:rPr>
          <w:rFonts w:asciiTheme="minorHAnsi" w:hAnsiTheme="minorHAnsi"/>
        </w:rPr>
        <w:t>lodní dopravu</w:t>
      </w:r>
      <w:r w:rsidR="00B93262" w:rsidRPr="004A4457">
        <w:rPr>
          <w:rFonts w:asciiTheme="minorHAnsi" w:hAnsiTheme="minorHAnsi"/>
        </w:rPr>
        <w:t>.</w:t>
      </w:r>
    </w:p>
    <w:p w14:paraId="6288AD9D" w14:textId="1CE9D73E" w:rsidR="001B66B5" w:rsidRPr="009D0E24" w:rsidRDefault="001B66B5" w:rsidP="000E5B59">
      <w:pPr>
        <w:pStyle w:val="Nadpis2"/>
        <w:rPr>
          <w:sz w:val="32"/>
          <w:szCs w:val="36"/>
        </w:rPr>
      </w:pPr>
      <w:bookmarkStart w:id="188" w:name="_Toc159332157"/>
      <w:bookmarkStart w:id="189" w:name="_Toc159336638"/>
      <w:bookmarkStart w:id="190" w:name="_Toc160021741"/>
      <w:bookmarkStart w:id="191" w:name="_Toc162447431"/>
      <w:r w:rsidRPr="009D0E24">
        <w:rPr>
          <w:sz w:val="32"/>
          <w:szCs w:val="36"/>
        </w:rPr>
        <w:t xml:space="preserve"> </w:t>
      </w:r>
      <w:bookmarkStart w:id="192" w:name="_Toc173240059"/>
      <w:r w:rsidR="00A04D58" w:rsidRPr="009D0E24">
        <w:rPr>
          <w:sz w:val="32"/>
          <w:szCs w:val="36"/>
        </w:rPr>
        <w:t xml:space="preserve">Legislativní </w:t>
      </w:r>
      <w:r w:rsidRPr="009D0E24">
        <w:rPr>
          <w:sz w:val="32"/>
          <w:szCs w:val="36"/>
        </w:rPr>
        <w:t xml:space="preserve">rámec </w:t>
      </w:r>
      <w:bookmarkEnd w:id="188"/>
      <w:bookmarkEnd w:id="189"/>
      <w:bookmarkEnd w:id="190"/>
      <w:bookmarkEnd w:id="191"/>
      <w:r w:rsidR="002E76C6" w:rsidRPr="009D0E24">
        <w:rPr>
          <w:sz w:val="32"/>
          <w:szCs w:val="36"/>
        </w:rPr>
        <w:t>v</w:t>
      </w:r>
      <w:r w:rsidR="00CF2351" w:rsidRPr="009D0E24">
        <w:rPr>
          <w:sz w:val="32"/>
          <w:szCs w:val="36"/>
        </w:rPr>
        <w:t> </w:t>
      </w:r>
      <w:r w:rsidR="002E76C6" w:rsidRPr="009D0E24">
        <w:rPr>
          <w:sz w:val="32"/>
          <w:szCs w:val="36"/>
        </w:rPr>
        <w:t>ČR</w:t>
      </w:r>
      <w:bookmarkEnd w:id="192"/>
      <w:r w:rsidRPr="009D0E24">
        <w:rPr>
          <w:sz w:val="32"/>
          <w:szCs w:val="36"/>
        </w:rPr>
        <w:t xml:space="preserve"> </w:t>
      </w:r>
    </w:p>
    <w:p w14:paraId="307938D4" w14:textId="0AE541C6" w:rsidR="001B66B5" w:rsidRPr="00B07D79" w:rsidRDefault="001B66B5" w:rsidP="00B07D79">
      <w:pPr>
        <w:spacing w:line="276" w:lineRule="auto"/>
        <w:jc w:val="both"/>
        <w:rPr>
          <w:rFonts w:asciiTheme="minorHAnsi" w:hAnsiTheme="minorHAnsi"/>
        </w:rPr>
      </w:pPr>
      <w:r w:rsidRPr="00B07D79">
        <w:rPr>
          <w:rFonts w:asciiTheme="minorHAnsi" w:hAnsiTheme="minorHAnsi"/>
        </w:rPr>
        <w:t xml:space="preserve">V </w:t>
      </w:r>
      <w:r w:rsidR="00F71A5E" w:rsidRPr="00B07D79">
        <w:rPr>
          <w:rFonts w:asciiTheme="minorHAnsi" w:hAnsiTheme="minorHAnsi"/>
        </w:rPr>
        <w:t>ČR</w:t>
      </w:r>
      <w:r w:rsidRPr="00B07D79">
        <w:rPr>
          <w:rFonts w:asciiTheme="minorHAnsi" w:hAnsiTheme="minorHAnsi"/>
        </w:rPr>
        <w:t xml:space="preserve"> existuje několik zákonů a</w:t>
      </w:r>
      <w:r w:rsidR="00CF2351" w:rsidRPr="00B07D79">
        <w:rPr>
          <w:rFonts w:asciiTheme="minorHAnsi" w:hAnsiTheme="minorHAnsi"/>
        </w:rPr>
        <w:t> </w:t>
      </w:r>
      <w:r w:rsidRPr="00B07D79">
        <w:rPr>
          <w:rFonts w:asciiTheme="minorHAnsi" w:hAnsiTheme="minorHAnsi"/>
        </w:rPr>
        <w:t>nařízení, které se týkají čisté mobility a</w:t>
      </w:r>
      <w:r w:rsidR="00CF2351" w:rsidRPr="00B07D79">
        <w:rPr>
          <w:rFonts w:asciiTheme="minorHAnsi" w:hAnsiTheme="minorHAnsi"/>
        </w:rPr>
        <w:t> </w:t>
      </w:r>
      <w:r w:rsidRPr="00B07D79">
        <w:rPr>
          <w:rFonts w:asciiTheme="minorHAnsi" w:hAnsiTheme="minorHAnsi"/>
        </w:rPr>
        <w:t>regulují její provoz a</w:t>
      </w:r>
      <w:r w:rsidR="00CF2351" w:rsidRPr="00B07D79">
        <w:rPr>
          <w:rFonts w:asciiTheme="minorHAnsi" w:hAnsiTheme="minorHAnsi"/>
        </w:rPr>
        <w:t> </w:t>
      </w:r>
      <w:r w:rsidRPr="00B07D79">
        <w:rPr>
          <w:rFonts w:asciiTheme="minorHAnsi" w:hAnsiTheme="minorHAnsi"/>
        </w:rPr>
        <w:t>vývoj. Česká legislativa implementuje unijní legislativu, týkající se emisních limitů nových vozidel, požadavky na nákup nových vozidel, povinné podíly obnovitelných zdrojů energie v</w:t>
      </w:r>
      <w:r w:rsidR="00CF2351" w:rsidRPr="00B07D79">
        <w:rPr>
          <w:rFonts w:asciiTheme="minorHAnsi" w:hAnsiTheme="minorHAnsi"/>
        </w:rPr>
        <w:t> </w:t>
      </w:r>
      <w:r w:rsidRPr="00B07D79">
        <w:rPr>
          <w:rFonts w:asciiTheme="minorHAnsi" w:hAnsiTheme="minorHAnsi"/>
        </w:rPr>
        <w:t>dopravě a</w:t>
      </w:r>
      <w:r w:rsidR="00CF2351" w:rsidRPr="00B07D79">
        <w:rPr>
          <w:rFonts w:asciiTheme="minorHAnsi" w:hAnsiTheme="minorHAnsi"/>
        </w:rPr>
        <w:t> </w:t>
      </w:r>
      <w:r w:rsidRPr="00B07D79">
        <w:rPr>
          <w:rFonts w:asciiTheme="minorHAnsi" w:hAnsiTheme="minorHAnsi"/>
        </w:rPr>
        <w:t>další. Dále je shrnuta česká a</w:t>
      </w:r>
      <w:r w:rsidR="00CF2351" w:rsidRPr="00B07D79">
        <w:rPr>
          <w:rFonts w:asciiTheme="minorHAnsi" w:hAnsiTheme="minorHAnsi"/>
        </w:rPr>
        <w:t> </w:t>
      </w:r>
      <w:r w:rsidRPr="00B07D79">
        <w:rPr>
          <w:rFonts w:asciiTheme="minorHAnsi" w:hAnsiTheme="minorHAnsi"/>
        </w:rPr>
        <w:t>unijní legislativa týkající se čisté mobility. Detailněji jsou jednotlivé zákony, směrnice a</w:t>
      </w:r>
      <w:r w:rsidR="00CF2351" w:rsidRPr="00B07D79">
        <w:rPr>
          <w:rFonts w:asciiTheme="minorHAnsi" w:hAnsiTheme="minorHAnsi"/>
        </w:rPr>
        <w:t> </w:t>
      </w:r>
      <w:r w:rsidRPr="00B07D79">
        <w:rPr>
          <w:rFonts w:asciiTheme="minorHAnsi" w:hAnsiTheme="minorHAnsi"/>
        </w:rPr>
        <w:t>nařízení v</w:t>
      </w:r>
      <w:r w:rsidR="00CF2351" w:rsidRPr="00B07D79">
        <w:rPr>
          <w:rFonts w:asciiTheme="minorHAnsi" w:hAnsiTheme="minorHAnsi"/>
        </w:rPr>
        <w:t> </w:t>
      </w:r>
      <w:r w:rsidRPr="00B07D79">
        <w:rPr>
          <w:rFonts w:asciiTheme="minorHAnsi" w:hAnsiTheme="minorHAnsi"/>
        </w:rPr>
        <w:t xml:space="preserve">příloze. </w:t>
      </w:r>
    </w:p>
    <w:p w14:paraId="3585D9DC" w14:textId="4401CE70" w:rsidR="001B66B5" w:rsidRPr="00B07D79" w:rsidRDefault="00E938AD" w:rsidP="000E5B59">
      <w:pPr>
        <w:pStyle w:val="Nadpis3"/>
      </w:pPr>
      <w:bookmarkStart w:id="193" w:name="_Toc173240060"/>
      <w:r w:rsidRPr="00B07D79">
        <w:t>Legislativní dokumenty</w:t>
      </w:r>
      <w:bookmarkEnd w:id="193"/>
      <w:r w:rsidR="001B66B5" w:rsidRPr="00B07D79">
        <w:t xml:space="preserve">   </w:t>
      </w:r>
    </w:p>
    <w:p w14:paraId="6B039347" w14:textId="10C8FCC5" w:rsidR="001B66B5" w:rsidRPr="00B07D79" w:rsidRDefault="001B66B5" w:rsidP="00B07D79">
      <w:pPr>
        <w:spacing w:line="276" w:lineRule="auto"/>
        <w:jc w:val="both"/>
        <w:rPr>
          <w:rFonts w:asciiTheme="minorHAnsi" w:hAnsiTheme="minorHAnsi"/>
        </w:rPr>
      </w:pPr>
      <w:r w:rsidRPr="00B07D79">
        <w:rPr>
          <w:rFonts w:asciiTheme="minorHAnsi" w:hAnsiTheme="minorHAnsi"/>
        </w:rPr>
        <w:t>Následující seznam poskytuje přehled nejdůležitějších právních předpisů v</w:t>
      </w:r>
      <w:r w:rsidR="00CF2351" w:rsidRPr="00B07D79">
        <w:rPr>
          <w:rFonts w:asciiTheme="minorHAnsi" w:hAnsiTheme="minorHAnsi"/>
        </w:rPr>
        <w:t> </w:t>
      </w:r>
      <w:r w:rsidRPr="00B07D79">
        <w:rPr>
          <w:rFonts w:asciiTheme="minorHAnsi" w:hAnsiTheme="minorHAnsi"/>
        </w:rPr>
        <w:t xml:space="preserve">této oblasti: </w:t>
      </w:r>
    </w:p>
    <w:p w14:paraId="0335FA24" w14:textId="497E173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 xml:space="preserve">Zákon </w:t>
      </w:r>
      <w:r w:rsidR="0059527A" w:rsidRPr="00B07D79">
        <w:rPr>
          <w:rFonts w:asciiTheme="minorHAnsi" w:hAnsiTheme="minorHAnsi"/>
        </w:rPr>
        <w:t xml:space="preserve">č. 361/2000 Sb., </w:t>
      </w:r>
      <w:r w:rsidRPr="00B07D79">
        <w:rPr>
          <w:rFonts w:asciiTheme="minorHAnsi" w:hAnsiTheme="minorHAnsi"/>
        </w:rPr>
        <w:t>o</w:t>
      </w:r>
      <w:r w:rsidR="00CF2351" w:rsidRPr="00B07D79">
        <w:rPr>
          <w:rFonts w:asciiTheme="minorHAnsi" w:hAnsiTheme="minorHAnsi"/>
        </w:rPr>
        <w:t> </w:t>
      </w:r>
      <w:r w:rsidRPr="00B07D79">
        <w:rPr>
          <w:rFonts w:asciiTheme="minorHAnsi" w:hAnsiTheme="minorHAnsi"/>
        </w:rPr>
        <w:t>silničním provozu</w:t>
      </w:r>
      <w:r w:rsidR="0059527A" w:rsidRPr="00B07D79">
        <w:rPr>
          <w:rFonts w:asciiTheme="minorHAnsi" w:hAnsiTheme="minorHAnsi"/>
        </w:rPr>
        <w:t xml:space="preserve"> </w:t>
      </w:r>
      <w:r w:rsidRPr="00B07D79">
        <w:rPr>
          <w:rFonts w:asciiTheme="minorHAnsi" w:hAnsiTheme="minorHAnsi"/>
        </w:rPr>
        <w:t>stanoví základní pravidla pro provoz na</w:t>
      </w:r>
      <w:r w:rsidR="003358AA" w:rsidRPr="00B07D79">
        <w:rPr>
          <w:rFonts w:asciiTheme="minorHAnsi" w:hAnsiTheme="minorHAnsi"/>
        </w:rPr>
        <w:t> </w:t>
      </w:r>
      <w:r w:rsidRPr="00B07D79">
        <w:rPr>
          <w:rFonts w:asciiTheme="minorHAnsi" w:hAnsiTheme="minorHAnsi"/>
        </w:rPr>
        <w:t>silnicích včetně elektromobilů. Konkrétně se zmiňuje o</w:t>
      </w:r>
      <w:r w:rsidR="00CF2351" w:rsidRPr="00B07D79">
        <w:rPr>
          <w:rFonts w:asciiTheme="minorHAnsi" w:hAnsiTheme="minorHAnsi"/>
        </w:rPr>
        <w:t> </w:t>
      </w:r>
      <w:r w:rsidRPr="00B07D79">
        <w:rPr>
          <w:rFonts w:asciiTheme="minorHAnsi" w:hAnsiTheme="minorHAnsi"/>
        </w:rPr>
        <w:t>povinnostech řidičů v</w:t>
      </w:r>
      <w:r w:rsidR="00CF2351" w:rsidRPr="00B07D79">
        <w:rPr>
          <w:rFonts w:asciiTheme="minorHAnsi" w:hAnsiTheme="minorHAnsi"/>
        </w:rPr>
        <w:t> </w:t>
      </w:r>
      <w:r w:rsidRPr="00B07D79">
        <w:rPr>
          <w:rFonts w:asciiTheme="minorHAnsi" w:hAnsiTheme="minorHAnsi"/>
        </w:rPr>
        <w:t>oblasti bezpečnosti silničního provozu</w:t>
      </w:r>
      <w:r w:rsidR="00F039BB" w:rsidRPr="00B07D79">
        <w:rPr>
          <w:rFonts w:asciiTheme="minorHAnsi" w:hAnsiTheme="minorHAnsi"/>
        </w:rPr>
        <w:t>.</w:t>
      </w:r>
    </w:p>
    <w:p w14:paraId="48C9E78E" w14:textId="28D82D5A"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 xml:space="preserve">Zákon </w:t>
      </w:r>
      <w:r w:rsidR="0059527A" w:rsidRPr="00B07D79">
        <w:rPr>
          <w:rFonts w:asciiTheme="minorHAnsi" w:hAnsiTheme="minorHAnsi"/>
        </w:rPr>
        <w:t xml:space="preserve">č. </w:t>
      </w:r>
      <w:r w:rsidR="00507057" w:rsidRPr="00B07D79">
        <w:rPr>
          <w:rFonts w:asciiTheme="minorHAnsi" w:hAnsiTheme="minorHAnsi"/>
        </w:rPr>
        <w:t>201/2012</w:t>
      </w:r>
      <w:r w:rsidR="0059527A" w:rsidRPr="00B07D79">
        <w:rPr>
          <w:rFonts w:asciiTheme="minorHAnsi" w:hAnsiTheme="minorHAnsi"/>
        </w:rPr>
        <w:t xml:space="preserve"> Sb., </w:t>
      </w:r>
      <w:r w:rsidRPr="00B07D79">
        <w:rPr>
          <w:rFonts w:asciiTheme="minorHAnsi" w:hAnsiTheme="minorHAnsi"/>
        </w:rPr>
        <w:t>o</w:t>
      </w:r>
      <w:r w:rsidR="00CF2351" w:rsidRPr="00B07D79">
        <w:rPr>
          <w:rFonts w:asciiTheme="minorHAnsi" w:hAnsiTheme="minorHAnsi"/>
        </w:rPr>
        <w:t> </w:t>
      </w:r>
      <w:r w:rsidRPr="00B07D79">
        <w:rPr>
          <w:rFonts w:asciiTheme="minorHAnsi" w:hAnsiTheme="minorHAnsi"/>
        </w:rPr>
        <w:t>ochraně ovzduší</w:t>
      </w:r>
      <w:r w:rsidR="0059527A" w:rsidRPr="00B07D79">
        <w:rPr>
          <w:rFonts w:asciiTheme="minorHAnsi" w:hAnsiTheme="minorHAnsi"/>
        </w:rPr>
        <w:t xml:space="preserve"> </w:t>
      </w:r>
      <w:r w:rsidR="00507057" w:rsidRPr="00B07D79">
        <w:rPr>
          <w:rFonts w:asciiTheme="minorHAnsi" w:hAnsiTheme="minorHAnsi"/>
        </w:rPr>
        <w:t>upravuje např. problematiku nízkoemisních zón či povinnosti dodavatelů pohonných hmot ve vztahu ke snižování emisí CO2 z</w:t>
      </w:r>
      <w:r w:rsidR="00CF2351" w:rsidRPr="00B07D79">
        <w:rPr>
          <w:rFonts w:asciiTheme="minorHAnsi" w:hAnsiTheme="minorHAnsi"/>
        </w:rPr>
        <w:t> </w:t>
      </w:r>
      <w:r w:rsidR="00507057" w:rsidRPr="00B07D79">
        <w:rPr>
          <w:rFonts w:asciiTheme="minorHAnsi" w:hAnsiTheme="minorHAnsi"/>
        </w:rPr>
        <w:t>paliv</w:t>
      </w:r>
      <w:r w:rsidR="00F039BB" w:rsidRPr="00B07D79">
        <w:rPr>
          <w:rFonts w:asciiTheme="minorHAnsi" w:hAnsiTheme="minorHAnsi"/>
        </w:rPr>
        <w:t>.</w:t>
      </w:r>
    </w:p>
    <w:p w14:paraId="04C52070" w14:textId="4C4E65E6"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Zákon č. 360/2022 Sb.</w:t>
      </w:r>
      <w:r w:rsidR="0059527A" w:rsidRPr="00B07D79">
        <w:rPr>
          <w:rFonts w:asciiTheme="minorHAnsi" w:hAnsiTheme="minorHAnsi"/>
        </w:rPr>
        <w:t>,</w:t>
      </w:r>
      <w:r w:rsidRPr="00B07D79">
        <w:rPr>
          <w:rFonts w:asciiTheme="minorHAnsi" w:hAnsiTheme="minorHAnsi"/>
        </w:rPr>
        <w:t xml:space="preserve"> o</w:t>
      </w:r>
      <w:r w:rsidR="00CF2351" w:rsidRPr="00B07D79">
        <w:rPr>
          <w:rFonts w:asciiTheme="minorHAnsi" w:hAnsiTheme="minorHAnsi"/>
        </w:rPr>
        <w:t> </w:t>
      </w:r>
      <w:r w:rsidRPr="00B07D79">
        <w:rPr>
          <w:rFonts w:asciiTheme="minorHAnsi" w:hAnsiTheme="minorHAnsi"/>
        </w:rPr>
        <w:t>podpoře nízkoemisních vozidel prostřednictvím zadávání veřejných zakázek a</w:t>
      </w:r>
      <w:r w:rsidR="00CF2351" w:rsidRPr="00B07D79">
        <w:rPr>
          <w:rFonts w:asciiTheme="minorHAnsi" w:hAnsiTheme="minorHAnsi"/>
        </w:rPr>
        <w:t> </w:t>
      </w:r>
      <w:r w:rsidRPr="00B07D79">
        <w:rPr>
          <w:rFonts w:asciiTheme="minorHAnsi" w:hAnsiTheme="minorHAnsi"/>
        </w:rPr>
        <w:t>veřejných služeb v</w:t>
      </w:r>
      <w:r w:rsidR="00CF2351" w:rsidRPr="00B07D79">
        <w:rPr>
          <w:rFonts w:asciiTheme="minorHAnsi" w:hAnsiTheme="minorHAnsi"/>
        </w:rPr>
        <w:t> </w:t>
      </w:r>
      <w:r w:rsidRPr="00B07D79">
        <w:rPr>
          <w:rFonts w:asciiTheme="minorHAnsi" w:hAnsiTheme="minorHAnsi"/>
        </w:rPr>
        <w:t>přepravě cestujících mj. definuje nízkoemisní vozidla a</w:t>
      </w:r>
      <w:r w:rsidR="00CF2351" w:rsidRPr="00B07D79">
        <w:rPr>
          <w:rFonts w:asciiTheme="minorHAnsi" w:hAnsiTheme="minorHAnsi"/>
        </w:rPr>
        <w:t> </w:t>
      </w:r>
      <w:r w:rsidRPr="00B07D79">
        <w:rPr>
          <w:rFonts w:asciiTheme="minorHAnsi" w:hAnsiTheme="minorHAnsi"/>
        </w:rPr>
        <w:t>jejich minimální podíly pro zadavatele a</w:t>
      </w:r>
      <w:r w:rsidR="00CF2351" w:rsidRPr="00B07D79">
        <w:rPr>
          <w:rFonts w:asciiTheme="minorHAnsi" w:hAnsiTheme="minorHAnsi"/>
        </w:rPr>
        <w:t> </w:t>
      </w:r>
      <w:r w:rsidRPr="00B07D79">
        <w:rPr>
          <w:rFonts w:asciiTheme="minorHAnsi" w:hAnsiTheme="minorHAnsi"/>
        </w:rPr>
        <w:t>objednatele podle zákona o</w:t>
      </w:r>
      <w:r w:rsidR="00CF2351" w:rsidRPr="00B07D79">
        <w:rPr>
          <w:rFonts w:asciiTheme="minorHAnsi" w:hAnsiTheme="minorHAnsi"/>
        </w:rPr>
        <w:t> </w:t>
      </w:r>
      <w:r w:rsidRPr="00B07D79">
        <w:rPr>
          <w:rFonts w:asciiTheme="minorHAnsi" w:hAnsiTheme="minorHAnsi"/>
        </w:rPr>
        <w:t>veřejných službách v</w:t>
      </w:r>
      <w:r w:rsidR="00CF2351" w:rsidRPr="00B07D79">
        <w:rPr>
          <w:rFonts w:asciiTheme="minorHAnsi" w:hAnsiTheme="minorHAnsi"/>
        </w:rPr>
        <w:t> </w:t>
      </w:r>
      <w:r w:rsidRPr="00B07D79">
        <w:rPr>
          <w:rFonts w:asciiTheme="minorHAnsi" w:hAnsiTheme="minorHAnsi"/>
        </w:rPr>
        <w:t>přepravě cestujících</w:t>
      </w:r>
      <w:r w:rsidR="00F039BB" w:rsidRPr="00B07D79">
        <w:rPr>
          <w:rFonts w:asciiTheme="minorHAnsi" w:hAnsiTheme="minorHAnsi"/>
        </w:rPr>
        <w:t>.</w:t>
      </w:r>
    </w:p>
    <w:p w14:paraId="197A17BF" w14:textId="11D9CDE1"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 xml:space="preserve">Zákon č. </w:t>
      </w:r>
      <w:r w:rsidR="00CE1F78" w:rsidRPr="00B07D79">
        <w:rPr>
          <w:rFonts w:asciiTheme="minorHAnsi" w:hAnsiTheme="minorHAnsi"/>
        </w:rPr>
        <w:t>165</w:t>
      </w:r>
      <w:r w:rsidRPr="00B07D79">
        <w:rPr>
          <w:rFonts w:asciiTheme="minorHAnsi" w:hAnsiTheme="minorHAnsi"/>
        </w:rPr>
        <w:t>/</w:t>
      </w:r>
      <w:r w:rsidR="00CE1F78" w:rsidRPr="00B07D79">
        <w:rPr>
          <w:rFonts w:asciiTheme="minorHAnsi" w:hAnsiTheme="minorHAnsi"/>
        </w:rPr>
        <w:t>2012</w:t>
      </w:r>
      <w:r w:rsidRPr="00B07D79">
        <w:rPr>
          <w:rFonts w:asciiTheme="minorHAnsi" w:hAnsiTheme="minorHAnsi"/>
        </w:rPr>
        <w:t xml:space="preserve"> Sb.</w:t>
      </w:r>
      <w:r w:rsidR="0059527A" w:rsidRPr="00B07D79">
        <w:rPr>
          <w:rFonts w:asciiTheme="minorHAnsi" w:hAnsiTheme="minorHAnsi"/>
        </w:rPr>
        <w:t>,</w:t>
      </w:r>
      <w:r w:rsidRPr="00B07D79">
        <w:rPr>
          <w:rFonts w:asciiTheme="minorHAnsi" w:hAnsiTheme="minorHAnsi"/>
        </w:rPr>
        <w:t xml:space="preserve"> </w:t>
      </w:r>
      <w:r w:rsidR="00B20001" w:rsidRPr="00B07D79">
        <w:rPr>
          <w:rFonts w:asciiTheme="minorHAnsi" w:hAnsiTheme="minorHAnsi"/>
        </w:rPr>
        <w:t>o</w:t>
      </w:r>
      <w:r w:rsidR="00CF2351" w:rsidRPr="00B07D79">
        <w:rPr>
          <w:rFonts w:asciiTheme="minorHAnsi" w:hAnsiTheme="minorHAnsi"/>
        </w:rPr>
        <w:t> </w:t>
      </w:r>
      <w:r w:rsidR="00B20001" w:rsidRPr="00B07D79">
        <w:rPr>
          <w:rFonts w:asciiTheme="minorHAnsi" w:hAnsiTheme="minorHAnsi"/>
        </w:rPr>
        <w:t>podporovaných</w:t>
      </w:r>
      <w:r w:rsidR="00CE1F78" w:rsidRPr="00B07D79">
        <w:rPr>
          <w:rFonts w:asciiTheme="minorHAnsi" w:hAnsiTheme="minorHAnsi"/>
        </w:rPr>
        <w:t xml:space="preserve"> zdrojích</w:t>
      </w:r>
      <w:r w:rsidRPr="00B07D79">
        <w:rPr>
          <w:rFonts w:asciiTheme="minorHAnsi" w:hAnsiTheme="minorHAnsi"/>
        </w:rPr>
        <w:t xml:space="preserve"> energie se týká podpory obnovitelných zdrojů energie, včetně elektromobility. Stanoví například podmínky pro</w:t>
      </w:r>
      <w:r w:rsidR="003358AA" w:rsidRPr="00B07D79">
        <w:rPr>
          <w:rFonts w:asciiTheme="minorHAnsi" w:hAnsiTheme="minorHAnsi"/>
        </w:rPr>
        <w:t> </w:t>
      </w:r>
      <w:r w:rsidRPr="00B07D79">
        <w:rPr>
          <w:rFonts w:asciiTheme="minorHAnsi" w:hAnsiTheme="minorHAnsi"/>
        </w:rPr>
        <w:t>poskytování dotací na elektromobily a</w:t>
      </w:r>
      <w:r w:rsidR="00CF2351" w:rsidRPr="00B07D79">
        <w:rPr>
          <w:rFonts w:asciiTheme="minorHAnsi" w:hAnsiTheme="minorHAnsi"/>
        </w:rPr>
        <w:t> </w:t>
      </w:r>
      <w:r w:rsidRPr="00B07D79">
        <w:rPr>
          <w:rFonts w:asciiTheme="minorHAnsi" w:hAnsiTheme="minorHAnsi"/>
        </w:rPr>
        <w:t>nabíjecí stanice</w:t>
      </w:r>
      <w:r w:rsidR="00F039BB" w:rsidRPr="00B07D79">
        <w:rPr>
          <w:rFonts w:asciiTheme="minorHAnsi" w:hAnsiTheme="minorHAnsi"/>
        </w:rPr>
        <w:t>.</w:t>
      </w:r>
      <w:r w:rsidRPr="00B07D79">
        <w:rPr>
          <w:rFonts w:asciiTheme="minorHAnsi" w:hAnsiTheme="minorHAnsi"/>
        </w:rPr>
        <w:t xml:space="preserve"> </w:t>
      </w:r>
      <w:r w:rsidR="002A6BDC" w:rsidRPr="00B07D79">
        <w:rPr>
          <w:rFonts w:asciiTheme="minorHAnsi" w:hAnsiTheme="minorHAnsi"/>
        </w:rPr>
        <w:t xml:space="preserve">Je zde definována podpora výroby biometanu. </w:t>
      </w:r>
    </w:p>
    <w:p w14:paraId="7BEDB08E" w14:textId="7AB1CB05"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Zákon č. 406/</w:t>
      </w:r>
      <w:r w:rsidR="002A6BDC" w:rsidRPr="00B07D79">
        <w:rPr>
          <w:rFonts w:asciiTheme="minorHAnsi" w:hAnsiTheme="minorHAnsi"/>
        </w:rPr>
        <w:t>20</w:t>
      </w:r>
      <w:r w:rsidR="00823376" w:rsidRPr="00B07D79">
        <w:rPr>
          <w:rFonts w:asciiTheme="minorHAnsi" w:hAnsiTheme="minorHAnsi"/>
        </w:rPr>
        <w:t>0</w:t>
      </w:r>
      <w:r w:rsidR="002A6BDC" w:rsidRPr="00B07D79">
        <w:rPr>
          <w:rFonts w:asciiTheme="minorHAnsi" w:hAnsiTheme="minorHAnsi"/>
        </w:rPr>
        <w:t>0</w:t>
      </w:r>
      <w:r w:rsidRPr="00B07D79">
        <w:rPr>
          <w:rFonts w:asciiTheme="minorHAnsi" w:hAnsiTheme="minorHAnsi"/>
        </w:rPr>
        <w:t xml:space="preserve"> Sb.</w:t>
      </w:r>
      <w:r w:rsidR="0059527A" w:rsidRPr="00B07D79">
        <w:rPr>
          <w:rFonts w:asciiTheme="minorHAnsi" w:hAnsiTheme="minorHAnsi"/>
        </w:rPr>
        <w:t>,</w:t>
      </w:r>
      <w:r w:rsidRPr="00B07D79">
        <w:rPr>
          <w:rFonts w:asciiTheme="minorHAnsi" w:hAnsiTheme="minorHAnsi"/>
        </w:rPr>
        <w:t xml:space="preserve"> o</w:t>
      </w:r>
      <w:r w:rsidR="00CF2351" w:rsidRPr="00B07D79">
        <w:rPr>
          <w:rFonts w:asciiTheme="minorHAnsi" w:hAnsiTheme="minorHAnsi"/>
        </w:rPr>
        <w:t> </w:t>
      </w:r>
      <w:r w:rsidR="0059527A" w:rsidRPr="00B07D79">
        <w:rPr>
          <w:rFonts w:asciiTheme="minorHAnsi" w:hAnsiTheme="minorHAnsi"/>
        </w:rPr>
        <w:t>h</w:t>
      </w:r>
      <w:r w:rsidRPr="00B07D79">
        <w:rPr>
          <w:rFonts w:asciiTheme="minorHAnsi" w:hAnsiTheme="minorHAnsi"/>
        </w:rPr>
        <w:t>ospodaření s</w:t>
      </w:r>
      <w:r w:rsidR="00CF2351" w:rsidRPr="00B07D79">
        <w:rPr>
          <w:rFonts w:asciiTheme="minorHAnsi" w:hAnsiTheme="minorHAnsi"/>
        </w:rPr>
        <w:t> </w:t>
      </w:r>
      <w:r w:rsidRPr="00B07D79">
        <w:rPr>
          <w:rFonts w:asciiTheme="minorHAnsi" w:hAnsiTheme="minorHAnsi"/>
        </w:rPr>
        <w:t>energií je zásadní pro podporu rozvoje elektromobility v</w:t>
      </w:r>
      <w:r w:rsidR="00CF2351" w:rsidRPr="00B07D79">
        <w:rPr>
          <w:rFonts w:asciiTheme="minorHAnsi" w:hAnsiTheme="minorHAnsi"/>
        </w:rPr>
        <w:t> </w:t>
      </w:r>
      <w:r w:rsidRPr="00B07D79">
        <w:rPr>
          <w:rFonts w:asciiTheme="minorHAnsi" w:hAnsiTheme="minorHAnsi"/>
        </w:rPr>
        <w:t>ČR. Stanovuje například cíle v</w:t>
      </w:r>
      <w:r w:rsidR="00CF2351" w:rsidRPr="00B07D79">
        <w:rPr>
          <w:rFonts w:asciiTheme="minorHAnsi" w:hAnsiTheme="minorHAnsi"/>
        </w:rPr>
        <w:t> </w:t>
      </w:r>
      <w:r w:rsidRPr="00B07D79">
        <w:rPr>
          <w:rFonts w:asciiTheme="minorHAnsi" w:hAnsiTheme="minorHAnsi"/>
        </w:rPr>
        <w:t>oblasti elektromobility, povinnosti státních orgánů v</w:t>
      </w:r>
      <w:r w:rsidR="00CF2351" w:rsidRPr="00B07D79">
        <w:rPr>
          <w:rFonts w:asciiTheme="minorHAnsi" w:hAnsiTheme="minorHAnsi"/>
        </w:rPr>
        <w:t> </w:t>
      </w:r>
      <w:r w:rsidRPr="00B07D79">
        <w:rPr>
          <w:rFonts w:asciiTheme="minorHAnsi" w:hAnsiTheme="minorHAnsi"/>
        </w:rPr>
        <w:t>této oblasti, a</w:t>
      </w:r>
      <w:r w:rsidR="00CF2351" w:rsidRPr="00B07D79">
        <w:rPr>
          <w:rFonts w:asciiTheme="minorHAnsi" w:hAnsiTheme="minorHAnsi"/>
        </w:rPr>
        <w:t> </w:t>
      </w:r>
      <w:r w:rsidRPr="00B07D79">
        <w:rPr>
          <w:rFonts w:asciiTheme="minorHAnsi" w:hAnsiTheme="minorHAnsi"/>
        </w:rPr>
        <w:t>způsoby podpory elektromobility prostřednictvím státních dotací a</w:t>
      </w:r>
      <w:r w:rsidR="00CF2351" w:rsidRPr="00B07D79">
        <w:rPr>
          <w:rFonts w:asciiTheme="minorHAnsi" w:hAnsiTheme="minorHAnsi"/>
        </w:rPr>
        <w:t> </w:t>
      </w:r>
      <w:r w:rsidRPr="00B07D79">
        <w:rPr>
          <w:rFonts w:asciiTheme="minorHAnsi" w:hAnsiTheme="minorHAnsi"/>
        </w:rPr>
        <w:t>daňových úlev</w:t>
      </w:r>
      <w:r w:rsidR="00F039BB" w:rsidRPr="00B07D79">
        <w:rPr>
          <w:rFonts w:asciiTheme="minorHAnsi" w:hAnsiTheme="minorHAnsi"/>
        </w:rPr>
        <w:t>.</w:t>
      </w:r>
    </w:p>
    <w:p w14:paraId="27981C9C" w14:textId="075FC75B"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Zákon č. 261/2007 Sb.</w:t>
      </w:r>
      <w:r w:rsidR="0059527A" w:rsidRPr="00B07D79">
        <w:rPr>
          <w:rFonts w:asciiTheme="minorHAnsi" w:hAnsiTheme="minorHAnsi"/>
        </w:rPr>
        <w:t>,</w:t>
      </w:r>
      <w:r w:rsidRPr="00B07D79">
        <w:rPr>
          <w:rFonts w:asciiTheme="minorHAnsi" w:hAnsiTheme="minorHAnsi"/>
        </w:rPr>
        <w:t xml:space="preserve"> o</w:t>
      </w:r>
      <w:r w:rsidR="00CF2351" w:rsidRPr="00B07D79">
        <w:rPr>
          <w:rFonts w:asciiTheme="minorHAnsi" w:hAnsiTheme="minorHAnsi"/>
        </w:rPr>
        <w:t> </w:t>
      </w:r>
      <w:r w:rsidRPr="00B07D79">
        <w:rPr>
          <w:rFonts w:asciiTheme="minorHAnsi" w:hAnsiTheme="minorHAnsi"/>
        </w:rPr>
        <w:t>stabilizaci veřejných rozpočtů</w:t>
      </w:r>
      <w:r w:rsidR="00F039BB" w:rsidRPr="00B07D79">
        <w:rPr>
          <w:rFonts w:asciiTheme="minorHAnsi" w:hAnsiTheme="minorHAnsi"/>
        </w:rPr>
        <w:t>.</w:t>
      </w:r>
      <w:r w:rsidR="00496122" w:rsidRPr="00B07D79">
        <w:rPr>
          <w:rFonts w:asciiTheme="minorHAnsi" w:hAnsiTheme="minorHAnsi"/>
        </w:rPr>
        <w:t xml:space="preserve"> Zákon zvýhodňuje využívání bezemisních vozidel, které zaměstnanci používají.</w:t>
      </w:r>
      <w:r w:rsidR="004B1425" w:rsidRPr="00B07D79">
        <w:rPr>
          <w:rFonts w:asciiTheme="minorHAnsi" w:hAnsiTheme="minorHAnsi"/>
        </w:rPr>
        <w:t xml:space="preserve"> Zároveň prodloužil dobu po kterou, lze uplatňovat mimořádné odpisy. Ty může vlastník bezemisního vozidla využit do 31. </w:t>
      </w:r>
      <w:r w:rsidR="006F26F3" w:rsidRPr="00B07D79">
        <w:rPr>
          <w:rFonts w:asciiTheme="minorHAnsi" w:hAnsiTheme="minorHAnsi"/>
        </w:rPr>
        <w:t>prosince</w:t>
      </w:r>
      <w:r w:rsidR="004B1425" w:rsidRPr="00B07D79">
        <w:rPr>
          <w:rFonts w:asciiTheme="minorHAnsi" w:hAnsiTheme="minorHAnsi"/>
        </w:rPr>
        <w:t xml:space="preserve"> 2028, přičemž vozidlo bude moct poplatník odepsat bez přerušení za</w:t>
      </w:r>
      <w:r w:rsidR="00F819FC" w:rsidRPr="00B07D79">
        <w:rPr>
          <w:rFonts w:asciiTheme="minorHAnsi" w:hAnsiTheme="minorHAnsi"/>
        </w:rPr>
        <w:t> </w:t>
      </w:r>
      <w:r w:rsidR="004B1425" w:rsidRPr="00B07D79">
        <w:rPr>
          <w:rFonts w:asciiTheme="minorHAnsi" w:hAnsiTheme="minorHAnsi"/>
        </w:rPr>
        <w:t>24</w:t>
      </w:r>
      <w:r w:rsidR="00F819FC" w:rsidRPr="00B07D79">
        <w:rPr>
          <w:rFonts w:asciiTheme="minorHAnsi" w:hAnsiTheme="minorHAnsi"/>
        </w:rPr>
        <w:t> </w:t>
      </w:r>
      <w:r w:rsidR="004B1425" w:rsidRPr="00B07D79">
        <w:rPr>
          <w:rFonts w:asciiTheme="minorHAnsi" w:hAnsiTheme="minorHAnsi"/>
        </w:rPr>
        <w:t>měsíců</w:t>
      </w:r>
      <w:r w:rsidR="00B20001" w:rsidRPr="00B07D79">
        <w:rPr>
          <w:rFonts w:asciiTheme="minorHAnsi" w:hAnsiTheme="minorHAnsi"/>
        </w:rPr>
        <w:t>.</w:t>
      </w:r>
    </w:p>
    <w:p w14:paraId="118E4FF6" w14:textId="7A793CC7" w:rsidR="001B66B5" w:rsidRPr="00B07D79" w:rsidRDefault="005064AE" w:rsidP="00B07D79">
      <w:pPr>
        <w:pStyle w:val="Bullet1"/>
        <w:spacing w:line="276" w:lineRule="auto"/>
        <w:jc w:val="both"/>
        <w:rPr>
          <w:rFonts w:asciiTheme="minorHAnsi" w:hAnsiTheme="minorHAnsi"/>
        </w:rPr>
      </w:pPr>
      <w:r w:rsidRPr="00B07D79">
        <w:rPr>
          <w:rFonts w:asciiTheme="minorHAnsi" w:hAnsiTheme="minorHAnsi"/>
        </w:rPr>
        <w:t>Zákon č. 586/1992 Sb., o</w:t>
      </w:r>
      <w:r w:rsidR="00CF2351" w:rsidRPr="00B07D79">
        <w:rPr>
          <w:rFonts w:asciiTheme="minorHAnsi" w:hAnsiTheme="minorHAnsi"/>
        </w:rPr>
        <w:t> </w:t>
      </w:r>
      <w:r w:rsidRPr="00B07D79">
        <w:rPr>
          <w:rFonts w:asciiTheme="minorHAnsi" w:hAnsiTheme="minorHAnsi"/>
        </w:rPr>
        <w:t>daních z</w:t>
      </w:r>
      <w:r w:rsidR="00CF2351" w:rsidRPr="00B07D79">
        <w:rPr>
          <w:rFonts w:asciiTheme="minorHAnsi" w:hAnsiTheme="minorHAnsi"/>
        </w:rPr>
        <w:t> </w:t>
      </w:r>
      <w:r w:rsidRPr="00B07D79">
        <w:rPr>
          <w:rFonts w:asciiTheme="minorHAnsi" w:hAnsiTheme="minorHAnsi"/>
        </w:rPr>
        <w:t xml:space="preserve">příjmů, </w:t>
      </w:r>
      <w:r w:rsidR="0008167C" w:rsidRPr="00B07D79">
        <w:rPr>
          <w:rFonts w:asciiTheme="minorHAnsi" w:hAnsiTheme="minorHAnsi"/>
        </w:rPr>
        <w:t>jehož novela zavádí nižší zdanění bezemisních a</w:t>
      </w:r>
      <w:r w:rsidR="00CF2351" w:rsidRPr="00B07D79">
        <w:rPr>
          <w:rFonts w:asciiTheme="minorHAnsi" w:hAnsiTheme="minorHAnsi"/>
        </w:rPr>
        <w:t> </w:t>
      </w:r>
      <w:r w:rsidR="0008167C" w:rsidRPr="00B07D79">
        <w:rPr>
          <w:rFonts w:asciiTheme="minorHAnsi" w:hAnsiTheme="minorHAnsi"/>
        </w:rPr>
        <w:t>nízkoemisních firemních vozidel poskytovaných zaměstnancům i</w:t>
      </w:r>
      <w:r w:rsidR="00CF2351" w:rsidRPr="00B07D79">
        <w:rPr>
          <w:rFonts w:asciiTheme="minorHAnsi" w:hAnsiTheme="minorHAnsi"/>
        </w:rPr>
        <w:t> </w:t>
      </w:r>
      <w:r w:rsidR="0008167C" w:rsidRPr="00B07D79">
        <w:rPr>
          <w:rFonts w:asciiTheme="minorHAnsi" w:hAnsiTheme="minorHAnsi"/>
        </w:rPr>
        <w:t>pro soukromé účely. Za zdanitelný příjem zaměstnance se v</w:t>
      </w:r>
      <w:r w:rsidR="00CF2351" w:rsidRPr="00B07D79">
        <w:rPr>
          <w:rFonts w:asciiTheme="minorHAnsi" w:hAnsiTheme="minorHAnsi"/>
        </w:rPr>
        <w:t> </w:t>
      </w:r>
      <w:r w:rsidR="0008167C" w:rsidRPr="00B07D79">
        <w:rPr>
          <w:rFonts w:asciiTheme="minorHAnsi" w:hAnsiTheme="minorHAnsi"/>
        </w:rPr>
        <w:t>případě poskytnutí těchto vozidel již nepovažuje 1 % jejich vstupní ceny (včetně DPH), ale pouze 0,5 % vstupní ceny nízkoemisního vozidla a</w:t>
      </w:r>
      <w:r w:rsidR="00CF2351" w:rsidRPr="00B07D79">
        <w:rPr>
          <w:rFonts w:asciiTheme="minorHAnsi" w:hAnsiTheme="minorHAnsi"/>
        </w:rPr>
        <w:t> </w:t>
      </w:r>
      <w:r w:rsidR="0008167C" w:rsidRPr="00B07D79">
        <w:rPr>
          <w:rFonts w:asciiTheme="minorHAnsi" w:hAnsiTheme="minorHAnsi"/>
        </w:rPr>
        <w:t xml:space="preserve">0,25 % vstupní </w:t>
      </w:r>
      <w:r w:rsidR="0008167C" w:rsidRPr="00B07D79">
        <w:rPr>
          <w:rFonts w:asciiTheme="minorHAnsi" w:hAnsiTheme="minorHAnsi"/>
        </w:rPr>
        <w:lastRenderedPageBreak/>
        <w:t>ceny bezemisního vozidla. Nízkoemisním vozidlem se pro účely daní z</w:t>
      </w:r>
      <w:r w:rsidR="00CF2351" w:rsidRPr="00B07D79">
        <w:rPr>
          <w:rFonts w:asciiTheme="minorHAnsi" w:hAnsiTheme="minorHAnsi"/>
        </w:rPr>
        <w:t> </w:t>
      </w:r>
      <w:r w:rsidR="0008167C" w:rsidRPr="00B07D79">
        <w:rPr>
          <w:rFonts w:asciiTheme="minorHAnsi" w:hAnsiTheme="minorHAnsi"/>
        </w:rPr>
        <w:t>příjmů rozumí silniční motorové vozidlo, které je nízkoemisním vozidlem podle zákona upravujícího podporu nízkoemisních vozidel prostřednictvím zadávání veřejných zakázek a</w:t>
      </w:r>
      <w:r w:rsidR="00CF2351" w:rsidRPr="00B07D79">
        <w:rPr>
          <w:rFonts w:asciiTheme="minorHAnsi" w:hAnsiTheme="minorHAnsi"/>
        </w:rPr>
        <w:t> </w:t>
      </w:r>
      <w:r w:rsidR="0008167C" w:rsidRPr="00B07D79">
        <w:rPr>
          <w:rFonts w:asciiTheme="minorHAnsi" w:hAnsiTheme="minorHAnsi"/>
        </w:rPr>
        <w:t>veřejných služeb v</w:t>
      </w:r>
      <w:r w:rsidR="00CF2351" w:rsidRPr="00B07D79">
        <w:rPr>
          <w:rFonts w:asciiTheme="minorHAnsi" w:hAnsiTheme="minorHAnsi"/>
        </w:rPr>
        <w:t> </w:t>
      </w:r>
      <w:r w:rsidR="0008167C" w:rsidRPr="00B07D79">
        <w:rPr>
          <w:rFonts w:asciiTheme="minorHAnsi" w:hAnsiTheme="minorHAnsi"/>
        </w:rPr>
        <w:t>přepravě cestujících a</w:t>
      </w:r>
      <w:r w:rsidR="00CF2351" w:rsidRPr="00B07D79">
        <w:rPr>
          <w:rFonts w:asciiTheme="minorHAnsi" w:hAnsiTheme="minorHAnsi"/>
        </w:rPr>
        <w:t> </w:t>
      </w:r>
      <w:r w:rsidR="0008167C" w:rsidRPr="00B07D79">
        <w:rPr>
          <w:rFonts w:asciiTheme="minorHAnsi" w:hAnsiTheme="minorHAnsi"/>
        </w:rPr>
        <w:t>není bezemisním vozidlem. Bezemisním vozidlem se pro účely daní z</w:t>
      </w:r>
      <w:r w:rsidR="00CF2351" w:rsidRPr="00B07D79">
        <w:rPr>
          <w:rFonts w:asciiTheme="minorHAnsi" w:hAnsiTheme="minorHAnsi"/>
        </w:rPr>
        <w:t> </w:t>
      </w:r>
      <w:r w:rsidR="0008167C" w:rsidRPr="00B07D79">
        <w:rPr>
          <w:rFonts w:asciiTheme="minorHAnsi" w:hAnsiTheme="minorHAnsi"/>
        </w:rPr>
        <w:t>příjmů rozumí silniční motorové vozidlo, které používá jako palivo výlučně elektrickou energii nebo vodík, nebo jiné silniční motorové vozidlo, jehož provoz nemá žádné emise CO2. Dále byly přeřazeny dobíjecí stanice pro elektromobily do 2. odpisové skupiny, což umožní rychlejší daňové odpisování po dobu 5 let a</w:t>
      </w:r>
      <w:r w:rsidR="00CF2351" w:rsidRPr="00B07D79">
        <w:rPr>
          <w:rFonts w:asciiTheme="minorHAnsi" w:hAnsiTheme="minorHAnsi"/>
        </w:rPr>
        <w:t> </w:t>
      </w:r>
      <w:r w:rsidR="0008167C" w:rsidRPr="00B07D79">
        <w:rPr>
          <w:rFonts w:asciiTheme="minorHAnsi" w:hAnsiTheme="minorHAnsi"/>
        </w:rPr>
        <w:t>také se doplnila možnost uplatnění mimořádných odpisů u</w:t>
      </w:r>
      <w:r w:rsidR="00CF2351" w:rsidRPr="00B07D79">
        <w:rPr>
          <w:rFonts w:asciiTheme="minorHAnsi" w:hAnsiTheme="minorHAnsi"/>
        </w:rPr>
        <w:t> </w:t>
      </w:r>
      <w:r w:rsidR="0008167C" w:rsidRPr="00B07D79">
        <w:rPr>
          <w:rFonts w:asciiTheme="minorHAnsi" w:hAnsiTheme="minorHAnsi"/>
        </w:rPr>
        <w:t>bezemisních vozidel pořízených v</w:t>
      </w:r>
      <w:r w:rsidR="00CF2351" w:rsidRPr="00B07D79">
        <w:rPr>
          <w:rFonts w:asciiTheme="minorHAnsi" w:hAnsiTheme="minorHAnsi"/>
        </w:rPr>
        <w:t> </w:t>
      </w:r>
      <w:r w:rsidR="0008167C" w:rsidRPr="00B07D79">
        <w:rPr>
          <w:rFonts w:asciiTheme="minorHAnsi" w:hAnsiTheme="minorHAnsi"/>
        </w:rPr>
        <w:t>období od 1. ledna 2024 do 31. prosince 2028. Bezemisní vozidlo může poplatník odepsat bez přerušení za 24</w:t>
      </w:r>
      <w:r w:rsidR="002C57CA" w:rsidRPr="00B07D79">
        <w:rPr>
          <w:rFonts w:asciiTheme="minorHAnsi" w:hAnsiTheme="minorHAnsi"/>
        </w:rPr>
        <w:t> </w:t>
      </w:r>
      <w:r w:rsidR="0008167C" w:rsidRPr="00B07D79">
        <w:rPr>
          <w:rFonts w:asciiTheme="minorHAnsi" w:hAnsiTheme="minorHAnsi"/>
        </w:rPr>
        <w:t>měsíců, přičemž za prvních 12 měsíců uplatní odpisy rovnoměrně do výše 60 % vstupní ceny</w:t>
      </w:r>
      <w:r w:rsidR="00A31654" w:rsidRPr="00B07D79">
        <w:rPr>
          <w:rFonts w:asciiTheme="minorHAnsi" w:hAnsiTheme="minorHAnsi"/>
        </w:rPr>
        <w:t xml:space="preserve"> a</w:t>
      </w:r>
      <w:r w:rsidR="00CF2351" w:rsidRPr="00B07D79">
        <w:rPr>
          <w:rFonts w:asciiTheme="minorHAnsi" w:hAnsiTheme="minorHAnsi"/>
        </w:rPr>
        <w:t> </w:t>
      </w:r>
      <w:r w:rsidR="00A31654" w:rsidRPr="00B07D79">
        <w:rPr>
          <w:rFonts w:asciiTheme="minorHAnsi" w:hAnsiTheme="minorHAnsi"/>
        </w:rPr>
        <w:t>za dalších 12 měsíců rovnoměrně do výše 40 % vstupní ceny. Odpisy se stanoví s</w:t>
      </w:r>
      <w:r w:rsidR="00CF2351" w:rsidRPr="00B07D79">
        <w:rPr>
          <w:rFonts w:asciiTheme="minorHAnsi" w:hAnsiTheme="minorHAnsi"/>
        </w:rPr>
        <w:t> </w:t>
      </w:r>
      <w:r w:rsidR="00A31654" w:rsidRPr="00B07D79">
        <w:rPr>
          <w:rFonts w:asciiTheme="minorHAnsi" w:hAnsiTheme="minorHAnsi"/>
        </w:rPr>
        <w:t>přesností na měsíce, nikoli na roky.</w:t>
      </w:r>
      <w:r w:rsidR="0008167C" w:rsidRPr="00B07D79" w:rsidDel="0008167C">
        <w:rPr>
          <w:rFonts w:asciiTheme="minorHAnsi" w:hAnsiTheme="minorHAnsi"/>
        </w:rPr>
        <w:t xml:space="preserve"> </w:t>
      </w:r>
    </w:p>
    <w:p w14:paraId="58E90966" w14:textId="6FB11B1C" w:rsidR="005064AE" w:rsidRPr="00B07D79" w:rsidRDefault="005064AE" w:rsidP="00B07D79">
      <w:pPr>
        <w:pStyle w:val="Bullet1"/>
        <w:spacing w:line="276" w:lineRule="auto"/>
        <w:jc w:val="both"/>
        <w:rPr>
          <w:rFonts w:asciiTheme="minorHAnsi" w:hAnsiTheme="minorHAnsi"/>
        </w:rPr>
      </w:pPr>
      <w:r w:rsidRPr="00B07D79">
        <w:rPr>
          <w:rFonts w:asciiTheme="minorHAnsi" w:hAnsiTheme="minorHAnsi"/>
        </w:rPr>
        <w:t>Zákon č. 311/2006 Sb., o</w:t>
      </w:r>
      <w:r w:rsidR="00CF2351" w:rsidRPr="00B07D79">
        <w:rPr>
          <w:rFonts w:asciiTheme="minorHAnsi" w:hAnsiTheme="minorHAnsi"/>
        </w:rPr>
        <w:t> </w:t>
      </w:r>
      <w:r w:rsidRPr="00B07D79">
        <w:rPr>
          <w:rFonts w:asciiTheme="minorHAnsi" w:hAnsiTheme="minorHAnsi"/>
        </w:rPr>
        <w:t>pohonných hmotách a</w:t>
      </w:r>
      <w:r w:rsidR="00CF2351" w:rsidRPr="00B07D79">
        <w:rPr>
          <w:rFonts w:asciiTheme="minorHAnsi" w:hAnsiTheme="minorHAnsi"/>
        </w:rPr>
        <w:t> </w:t>
      </w:r>
      <w:r w:rsidRPr="00B07D79">
        <w:rPr>
          <w:rFonts w:asciiTheme="minorHAnsi" w:hAnsiTheme="minorHAnsi"/>
        </w:rPr>
        <w:t xml:space="preserve">čerpacích stanicích pohonných hmot. Zákon definuje mimo jiné dobíjecí stanice. </w:t>
      </w:r>
    </w:p>
    <w:p w14:paraId="7F1A7839" w14:textId="4453CC69" w:rsidR="00537933" w:rsidRPr="00B07D79" w:rsidRDefault="00537933" w:rsidP="00B07D79">
      <w:pPr>
        <w:pStyle w:val="Bullet1"/>
        <w:spacing w:line="276" w:lineRule="auto"/>
        <w:jc w:val="both"/>
        <w:rPr>
          <w:rFonts w:asciiTheme="minorHAnsi" w:hAnsiTheme="minorHAnsi"/>
        </w:rPr>
      </w:pPr>
      <w:r w:rsidRPr="00B07D79">
        <w:rPr>
          <w:rFonts w:asciiTheme="minorHAnsi" w:hAnsiTheme="minorHAnsi"/>
        </w:rPr>
        <w:t>Zákon č. 56/2001 Sb. o</w:t>
      </w:r>
      <w:r w:rsidR="00CF2351" w:rsidRPr="00B07D79">
        <w:rPr>
          <w:rFonts w:asciiTheme="minorHAnsi" w:hAnsiTheme="minorHAnsi"/>
        </w:rPr>
        <w:t> </w:t>
      </w:r>
      <w:r w:rsidRPr="00B07D79">
        <w:rPr>
          <w:rFonts w:asciiTheme="minorHAnsi" w:hAnsiTheme="minorHAnsi"/>
        </w:rPr>
        <w:t>podmínkách provozu vozidel na pozemních komunikacích – umožňuje vydávat registrační značky pro elektromobily (pro BEV, FCEV a</w:t>
      </w:r>
      <w:r w:rsidR="00CF2351" w:rsidRPr="00B07D79">
        <w:rPr>
          <w:rFonts w:asciiTheme="minorHAnsi" w:hAnsiTheme="minorHAnsi"/>
        </w:rPr>
        <w:t> </w:t>
      </w:r>
      <w:r w:rsidRPr="00B07D79">
        <w:rPr>
          <w:rFonts w:asciiTheme="minorHAnsi" w:hAnsiTheme="minorHAnsi"/>
        </w:rPr>
        <w:t>PHEV s</w:t>
      </w:r>
      <w:r w:rsidR="00CF2351" w:rsidRPr="00B07D79">
        <w:rPr>
          <w:rFonts w:asciiTheme="minorHAnsi" w:hAnsiTheme="minorHAnsi"/>
        </w:rPr>
        <w:t> </w:t>
      </w:r>
      <w:r w:rsidRPr="00B07D79">
        <w:rPr>
          <w:rFonts w:asciiTheme="minorHAnsi" w:hAnsiTheme="minorHAnsi"/>
        </w:rPr>
        <w:t>emisemi do 50 g</w:t>
      </w:r>
      <w:r w:rsidR="00CF2351" w:rsidRPr="00B07D79">
        <w:rPr>
          <w:rFonts w:asciiTheme="minorHAnsi" w:hAnsiTheme="minorHAnsi"/>
        </w:rPr>
        <w:t> </w:t>
      </w:r>
      <w:r w:rsidRPr="00B07D79">
        <w:rPr>
          <w:rFonts w:asciiTheme="minorHAnsi" w:hAnsiTheme="minorHAnsi"/>
        </w:rPr>
        <w:t>CO</w:t>
      </w:r>
      <w:r w:rsidRPr="00B07D79">
        <w:rPr>
          <w:rFonts w:asciiTheme="minorHAnsi" w:hAnsiTheme="minorHAnsi"/>
          <w:vertAlign w:val="subscript"/>
        </w:rPr>
        <w:t>2</w:t>
      </w:r>
      <w:r w:rsidRPr="00B07D79">
        <w:rPr>
          <w:rFonts w:asciiTheme="minorHAnsi" w:hAnsiTheme="minorHAnsi"/>
        </w:rPr>
        <w:t>/km), na které lze vázat různá zvýhodnění: např. parkování zdarma je možné v</w:t>
      </w:r>
      <w:r w:rsidR="00CF2351" w:rsidRPr="00B07D79">
        <w:rPr>
          <w:rFonts w:asciiTheme="minorHAnsi" w:hAnsiTheme="minorHAnsi"/>
        </w:rPr>
        <w:t> </w:t>
      </w:r>
      <w:r w:rsidRPr="00B07D79">
        <w:rPr>
          <w:rFonts w:asciiTheme="minorHAnsi" w:hAnsiTheme="minorHAnsi"/>
        </w:rPr>
        <w:t>několika městech – aktuálně v</w:t>
      </w:r>
      <w:r w:rsidR="00CF2351" w:rsidRPr="00B07D79">
        <w:rPr>
          <w:rFonts w:asciiTheme="minorHAnsi" w:hAnsiTheme="minorHAnsi"/>
        </w:rPr>
        <w:t> </w:t>
      </w:r>
      <w:r w:rsidRPr="00B07D79">
        <w:rPr>
          <w:rFonts w:asciiTheme="minorHAnsi" w:hAnsiTheme="minorHAnsi"/>
        </w:rPr>
        <w:t>Praze, Ostravě, Plzni a</w:t>
      </w:r>
      <w:r w:rsidR="00CF2351" w:rsidRPr="00B07D79">
        <w:rPr>
          <w:rFonts w:asciiTheme="minorHAnsi" w:hAnsiTheme="minorHAnsi"/>
        </w:rPr>
        <w:t> </w:t>
      </w:r>
      <w:r w:rsidRPr="00B07D79">
        <w:rPr>
          <w:rFonts w:asciiTheme="minorHAnsi" w:hAnsiTheme="minorHAnsi"/>
        </w:rPr>
        <w:t>po dobu dobíjení také ve vymezených zónách v</w:t>
      </w:r>
      <w:r w:rsidR="00CF2351" w:rsidRPr="00B07D79">
        <w:rPr>
          <w:rFonts w:asciiTheme="minorHAnsi" w:hAnsiTheme="minorHAnsi"/>
        </w:rPr>
        <w:t> </w:t>
      </w:r>
      <w:r w:rsidRPr="00B07D79">
        <w:rPr>
          <w:rFonts w:asciiTheme="minorHAnsi" w:hAnsiTheme="minorHAnsi"/>
        </w:rPr>
        <w:t>Brně. Tato vozidla jsou také osvobozena od správních poplatků za zápis do registru silničních vozidel a</w:t>
      </w:r>
      <w:r w:rsidR="00CF2351" w:rsidRPr="00B07D79">
        <w:rPr>
          <w:rFonts w:asciiTheme="minorHAnsi" w:hAnsiTheme="minorHAnsi"/>
        </w:rPr>
        <w:t> </w:t>
      </w:r>
      <w:r w:rsidRPr="00B07D79">
        <w:rPr>
          <w:rFonts w:asciiTheme="minorHAnsi" w:hAnsiTheme="minorHAnsi"/>
        </w:rPr>
        <w:t>vydání registrační značky (zákon č. 634/2004 Sb. o</w:t>
      </w:r>
      <w:r w:rsidR="00CF2351" w:rsidRPr="00B07D79">
        <w:rPr>
          <w:rFonts w:asciiTheme="minorHAnsi" w:hAnsiTheme="minorHAnsi"/>
        </w:rPr>
        <w:t> </w:t>
      </w:r>
      <w:r w:rsidRPr="00B07D79">
        <w:rPr>
          <w:rFonts w:asciiTheme="minorHAnsi" w:hAnsiTheme="minorHAnsi"/>
        </w:rPr>
        <w:t>správních poplatcích).</w:t>
      </w:r>
    </w:p>
    <w:p w14:paraId="358331AC" w14:textId="518726E5" w:rsidR="00537933" w:rsidRPr="00B07D79" w:rsidRDefault="00537933" w:rsidP="00B07D79">
      <w:pPr>
        <w:pStyle w:val="Bullet1"/>
        <w:spacing w:line="276" w:lineRule="auto"/>
        <w:jc w:val="both"/>
        <w:rPr>
          <w:rFonts w:asciiTheme="minorHAnsi" w:hAnsiTheme="minorHAnsi"/>
        </w:rPr>
      </w:pPr>
      <w:r w:rsidRPr="00B07D79">
        <w:rPr>
          <w:rFonts w:asciiTheme="minorHAnsi" w:hAnsiTheme="minorHAnsi"/>
        </w:rPr>
        <w:t>Zákon č. 13/1997, o</w:t>
      </w:r>
      <w:r w:rsidR="00CF2351" w:rsidRPr="00B07D79">
        <w:rPr>
          <w:rFonts w:asciiTheme="minorHAnsi" w:hAnsiTheme="minorHAnsi"/>
        </w:rPr>
        <w:t> </w:t>
      </w:r>
      <w:r w:rsidRPr="00B07D79">
        <w:rPr>
          <w:rFonts w:asciiTheme="minorHAnsi" w:hAnsiTheme="minorHAnsi"/>
        </w:rPr>
        <w:t>pozemních komunikacích – s</w:t>
      </w:r>
      <w:r w:rsidR="00CF2351" w:rsidRPr="00B07D79">
        <w:rPr>
          <w:rFonts w:asciiTheme="minorHAnsi" w:hAnsiTheme="minorHAnsi"/>
        </w:rPr>
        <w:t> </w:t>
      </w:r>
      <w:r w:rsidRPr="00B07D79">
        <w:rPr>
          <w:rFonts w:asciiTheme="minorHAnsi" w:hAnsiTheme="minorHAnsi"/>
        </w:rPr>
        <w:t xml:space="preserve">účinností od 1. </w:t>
      </w:r>
      <w:r w:rsidR="00B93262" w:rsidRPr="00B07D79">
        <w:rPr>
          <w:rFonts w:asciiTheme="minorHAnsi" w:hAnsiTheme="minorHAnsi"/>
        </w:rPr>
        <w:t>prosince</w:t>
      </w:r>
      <w:r w:rsidRPr="00B07D79">
        <w:rPr>
          <w:rFonts w:asciiTheme="minorHAnsi" w:hAnsiTheme="minorHAnsi"/>
        </w:rPr>
        <w:t xml:space="preserve"> 2020 se zavádí osvobození elektrických a</w:t>
      </w:r>
      <w:r w:rsidR="00CF2351" w:rsidRPr="00B07D79">
        <w:rPr>
          <w:rFonts w:asciiTheme="minorHAnsi" w:hAnsiTheme="minorHAnsi"/>
        </w:rPr>
        <w:t> </w:t>
      </w:r>
      <w:r w:rsidRPr="00B07D79">
        <w:rPr>
          <w:rFonts w:asciiTheme="minorHAnsi" w:hAnsiTheme="minorHAnsi"/>
        </w:rPr>
        <w:t>vodíkových vozidel (s emisemi do 50 g</w:t>
      </w:r>
      <w:r w:rsidR="00CF2351" w:rsidRPr="00B07D79">
        <w:rPr>
          <w:rFonts w:asciiTheme="minorHAnsi" w:hAnsiTheme="minorHAnsi"/>
        </w:rPr>
        <w:t> </w:t>
      </w:r>
      <w:r w:rsidRPr="00B07D79">
        <w:rPr>
          <w:rFonts w:asciiTheme="minorHAnsi" w:hAnsiTheme="minorHAnsi"/>
        </w:rPr>
        <w:t>CO</w:t>
      </w:r>
      <w:r w:rsidRPr="00B07D79">
        <w:rPr>
          <w:rFonts w:asciiTheme="minorHAnsi" w:hAnsiTheme="minorHAnsi"/>
          <w:vertAlign w:val="subscript"/>
        </w:rPr>
        <w:t>2</w:t>
      </w:r>
      <w:r w:rsidRPr="00B07D79">
        <w:rPr>
          <w:rFonts w:asciiTheme="minorHAnsi" w:hAnsiTheme="minorHAnsi"/>
        </w:rPr>
        <w:t>/km) od časového a</w:t>
      </w:r>
      <w:r w:rsidR="00CF2351" w:rsidRPr="00B07D79">
        <w:rPr>
          <w:rFonts w:asciiTheme="minorHAnsi" w:hAnsiTheme="minorHAnsi"/>
        </w:rPr>
        <w:t> </w:t>
      </w:r>
      <w:r w:rsidRPr="00B07D79">
        <w:rPr>
          <w:rFonts w:asciiTheme="minorHAnsi" w:hAnsiTheme="minorHAnsi"/>
        </w:rPr>
        <w:t>výkonového zpoplatnění (tj. uživatelských poplatků/dálniční známky a</w:t>
      </w:r>
      <w:r w:rsidR="00CF2351" w:rsidRPr="00B07D79">
        <w:rPr>
          <w:rFonts w:asciiTheme="minorHAnsi" w:hAnsiTheme="minorHAnsi"/>
        </w:rPr>
        <w:t> </w:t>
      </w:r>
      <w:r w:rsidRPr="00B07D79">
        <w:rPr>
          <w:rFonts w:asciiTheme="minorHAnsi" w:hAnsiTheme="minorHAnsi"/>
        </w:rPr>
        <w:t>mýtného).</w:t>
      </w:r>
    </w:p>
    <w:p w14:paraId="12F4ADC3" w14:textId="48EBF07D" w:rsidR="00E27842" w:rsidRPr="00B07D79" w:rsidRDefault="00537933" w:rsidP="00B07D79">
      <w:pPr>
        <w:pStyle w:val="Bullet1"/>
        <w:spacing w:line="276" w:lineRule="auto"/>
        <w:jc w:val="both"/>
        <w:rPr>
          <w:rFonts w:asciiTheme="minorHAnsi" w:hAnsiTheme="minorHAnsi"/>
        </w:rPr>
      </w:pPr>
      <w:r w:rsidRPr="00B07D79">
        <w:rPr>
          <w:rFonts w:asciiTheme="minorHAnsi" w:hAnsiTheme="minorHAnsi"/>
        </w:rPr>
        <w:t>Zákon č. 349/2023, kterým se mění některé zákony v</w:t>
      </w:r>
      <w:r w:rsidR="00CF2351" w:rsidRPr="00B07D79">
        <w:rPr>
          <w:rFonts w:asciiTheme="minorHAnsi" w:hAnsiTheme="minorHAnsi"/>
        </w:rPr>
        <w:t> </w:t>
      </w:r>
      <w:r w:rsidRPr="00B07D79">
        <w:rPr>
          <w:rFonts w:asciiTheme="minorHAnsi" w:hAnsiTheme="minorHAnsi"/>
        </w:rPr>
        <w:t>souvislosti s</w:t>
      </w:r>
      <w:r w:rsidR="00CF2351" w:rsidRPr="00B07D79">
        <w:rPr>
          <w:rFonts w:asciiTheme="minorHAnsi" w:hAnsiTheme="minorHAnsi"/>
        </w:rPr>
        <w:t> </w:t>
      </w:r>
      <w:r w:rsidRPr="00B07D79">
        <w:rPr>
          <w:rFonts w:asciiTheme="minorHAnsi" w:hAnsiTheme="minorHAnsi"/>
        </w:rPr>
        <w:t xml:space="preserve">konsolidací veřejných rozpočtů. </w:t>
      </w:r>
      <w:bookmarkStart w:id="194" w:name="_Hlk169616170"/>
      <w:r w:rsidR="00554C59" w:rsidRPr="00B07D79">
        <w:rPr>
          <w:rFonts w:asciiTheme="minorHAnsi" w:hAnsiTheme="minorHAnsi"/>
        </w:rPr>
        <w:t>V</w:t>
      </w:r>
      <w:r w:rsidR="00CF2351" w:rsidRPr="00B07D79">
        <w:rPr>
          <w:rFonts w:asciiTheme="minorHAnsi" w:hAnsiTheme="minorHAnsi"/>
        </w:rPr>
        <w:t> </w:t>
      </w:r>
      <w:r w:rsidR="00554C59" w:rsidRPr="00B07D79">
        <w:rPr>
          <w:rFonts w:asciiTheme="minorHAnsi" w:hAnsiTheme="minorHAnsi"/>
        </w:rPr>
        <w:t>oblasti neinvestičních podpor rozvoje alternativních pohonů došlo například k</w:t>
      </w:r>
      <w:r w:rsidR="00CF2351" w:rsidRPr="00B07D79">
        <w:rPr>
          <w:rFonts w:asciiTheme="minorHAnsi" w:hAnsiTheme="minorHAnsi"/>
        </w:rPr>
        <w:t> </w:t>
      </w:r>
      <w:r w:rsidR="00554C59" w:rsidRPr="00B07D79">
        <w:rPr>
          <w:rFonts w:asciiTheme="minorHAnsi" w:hAnsiTheme="minorHAnsi"/>
        </w:rPr>
        <w:t>zavedení nižšího zdanění bezemisních a</w:t>
      </w:r>
      <w:r w:rsidR="00CF2351" w:rsidRPr="00B07D79">
        <w:rPr>
          <w:rFonts w:asciiTheme="minorHAnsi" w:hAnsiTheme="minorHAnsi"/>
        </w:rPr>
        <w:t> </w:t>
      </w:r>
      <w:r w:rsidR="00554C59" w:rsidRPr="00B07D79">
        <w:rPr>
          <w:rFonts w:asciiTheme="minorHAnsi" w:hAnsiTheme="minorHAnsi"/>
        </w:rPr>
        <w:t>nízkoemisních firemních vozidel poskytovaných zaměstnancům i</w:t>
      </w:r>
      <w:r w:rsidR="00CF2351" w:rsidRPr="00B07D79">
        <w:rPr>
          <w:rFonts w:asciiTheme="minorHAnsi" w:hAnsiTheme="minorHAnsi"/>
        </w:rPr>
        <w:t> </w:t>
      </w:r>
      <w:r w:rsidR="00554C59" w:rsidRPr="00B07D79">
        <w:rPr>
          <w:rFonts w:asciiTheme="minorHAnsi" w:hAnsiTheme="minorHAnsi"/>
        </w:rPr>
        <w:t>pro soukromé účely, přeřazení dobíjecích stanic pro elektromobily do 2. odpisové skupiny, možnosti uplatnění mimořádných odpisů u</w:t>
      </w:r>
      <w:r w:rsidR="00CF2351" w:rsidRPr="00B07D79">
        <w:rPr>
          <w:rFonts w:asciiTheme="minorHAnsi" w:hAnsiTheme="minorHAnsi"/>
        </w:rPr>
        <w:t> </w:t>
      </w:r>
      <w:r w:rsidR="00554C59" w:rsidRPr="00B07D79">
        <w:rPr>
          <w:rFonts w:asciiTheme="minorHAnsi" w:hAnsiTheme="minorHAnsi"/>
        </w:rPr>
        <w:t>bezemisních vozidel pořízených v</w:t>
      </w:r>
      <w:r w:rsidR="00CF2351" w:rsidRPr="00B07D79">
        <w:rPr>
          <w:rFonts w:asciiTheme="minorHAnsi" w:hAnsiTheme="minorHAnsi"/>
        </w:rPr>
        <w:t> </w:t>
      </w:r>
      <w:r w:rsidR="00554C59" w:rsidRPr="00B07D79">
        <w:rPr>
          <w:rFonts w:asciiTheme="minorHAnsi" w:hAnsiTheme="minorHAnsi"/>
        </w:rPr>
        <w:t>období od 1. ledna 2024 do 31. prosince 2028</w:t>
      </w:r>
      <w:bookmarkEnd w:id="194"/>
      <w:r w:rsidR="00003893" w:rsidRPr="00B07D79">
        <w:rPr>
          <w:rFonts w:asciiTheme="minorHAnsi" w:hAnsiTheme="minorHAnsi"/>
        </w:rPr>
        <w:t xml:space="preserve">. </w:t>
      </w:r>
      <w:r w:rsidR="00E27842" w:rsidRPr="00B07D79">
        <w:rPr>
          <w:rFonts w:asciiTheme="minorHAnsi" w:hAnsiTheme="minorHAnsi"/>
        </w:rPr>
        <w:t>Zdanění nízkoemisních firemních vozidel poskytovaných zaměstnancům pro služební i</w:t>
      </w:r>
      <w:r w:rsidR="00CF2351" w:rsidRPr="00B07D79">
        <w:rPr>
          <w:rFonts w:asciiTheme="minorHAnsi" w:hAnsiTheme="minorHAnsi"/>
        </w:rPr>
        <w:t> </w:t>
      </w:r>
      <w:r w:rsidR="00E27842" w:rsidRPr="00B07D79">
        <w:rPr>
          <w:rFonts w:asciiTheme="minorHAnsi" w:hAnsiTheme="minorHAnsi"/>
        </w:rPr>
        <w:t>soukromé účely ve výši 0,5 % vstupní ceny (včetně bezemisních) bylo do zákona o</w:t>
      </w:r>
      <w:r w:rsidR="00CF2351" w:rsidRPr="00B07D79">
        <w:rPr>
          <w:rFonts w:asciiTheme="minorHAnsi" w:hAnsiTheme="minorHAnsi"/>
        </w:rPr>
        <w:t> </w:t>
      </w:r>
      <w:r w:rsidR="00E27842" w:rsidRPr="00B07D79">
        <w:rPr>
          <w:rFonts w:asciiTheme="minorHAnsi" w:hAnsiTheme="minorHAnsi"/>
        </w:rPr>
        <w:t>daních z</w:t>
      </w:r>
      <w:r w:rsidR="00CF2351" w:rsidRPr="00B07D79">
        <w:rPr>
          <w:rFonts w:asciiTheme="minorHAnsi" w:hAnsiTheme="minorHAnsi"/>
        </w:rPr>
        <w:t> </w:t>
      </w:r>
      <w:r w:rsidR="00E27842" w:rsidRPr="00B07D79">
        <w:rPr>
          <w:rFonts w:asciiTheme="minorHAnsi" w:hAnsiTheme="minorHAnsi"/>
        </w:rPr>
        <w:t xml:space="preserve">příjmů zapracováno zákonem č. 142/2022 Sb.   </w:t>
      </w:r>
      <w:r w:rsidR="00E27842" w:rsidRPr="00B07D79">
        <w:rPr>
          <w:rFonts w:asciiTheme="minorHAnsi" w:hAnsiTheme="minorHAnsi"/>
          <w:szCs w:val="22"/>
        </w:rPr>
        <w:t xml:space="preserve">Přeřazení dobíjecích stanic pro elektromobily do 2. odpisové </w:t>
      </w:r>
      <w:r w:rsidR="00F819FC" w:rsidRPr="00B07D79">
        <w:rPr>
          <w:rFonts w:asciiTheme="minorHAnsi" w:hAnsiTheme="minorHAnsi"/>
          <w:szCs w:val="22"/>
        </w:rPr>
        <w:t>skupiny – toto</w:t>
      </w:r>
      <w:r w:rsidR="00582C7C" w:rsidRPr="00B07D79">
        <w:rPr>
          <w:rFonts w:asciiTheme="minorHAnsi" w:hAnsiTheme="minorHAnsi"/>
        </w:rPr>
        <w:t xml:space="preserve"> opatření bylo provedeno zákonem č.</w:t>
      </w:r>
      <w:r w:rsidR="00E27842" w:rsidRPr="00B07D79">
        <w:rPr>
          <w:rFonts w:asciiTheme="minorHAnsi" w:hAnsiTheme="minorHAnsi"/>
        </w:rPr>
        <w:t> </w:t>
      </w:r>
      <w:r w:rsidR="00582C7C" w:rsidRPr="00B07D79">
        <w:rPr>
          <w:rFonts w:asciiTheme="minorHAnsi" w:hAnsiTheme="minorHAnsi"/>
        </w:rPr>
        <w:t>142/2022 Sb., kterým se mění zákon č. 586/1992 Sb., o</w:t>
      </w:r>
      <w:r w:rsidR="00CF2351" w:rsidRPr="00B07D79">
        <w:rPr>
          <w:rFonts w:asciiTheme="minorHAnsi" w:hAnsiTheme="minorHAnsi"/>
        </w:rPr>
        <w:t> </w:t>
      </w:r>
      <w:r w:rsidR="00582C7C" w:rsidRPr="00B07D79">
        <w:rPr>
          <w:rFonts w:asciiTheme="minorHAnsi" w:hAnsiTheme="minorHAnsi"/>
        </w:rPr>
        <w:t>daních z</w:t>
      </w:r>
      <w:r w:rsidR="00CF2351" w:rsidRPr="00B07D79">
        <w:rPr>
          <w:rFonts w:asciiTheme="minorHAnsi" w:hAnsiTheme="minorHAnsi"/>
        </w:rPr>
        <w:t> </w:t>
      </w:r>
      <w:r w:rsidR="00582C7C" w:rsidRPr="00B07D79">
        <w:rPr>
          <w:rFonts w:asciiTheme="minorHAnsi" w:hAnsiTheme="minorHAnsi"/>
        </w:rPr>
        <w:t>příjmů, ve znění pozdějších předpisů, zákon č. 16/1993 Sb., o</w:t>
      </w:r>
      <w:r w:rsidR="00CF2351" w:rsidRPr="00B07D79">
        <w:rPr>
          <w:rFonts w:asciiTheme="minorHAnsi" w:hAnsiTheme="minorHAnsi"/>
        </w:rPr>
        <w:t> </w:t>
      </w:r>
      <w:r w:rsidR="00582C7C" w:rsidRPr="00B07D79">
        <w:rPr>
          <w:rFonts w:asciiTheme="minorHAnsi" w:hAnsiTheme="minorHAnsi"/>
        </w:rPr>
        <w:t>dani silniční, ve znění pozdějších předpisů, a</w:t>
      </w:r>
      <w:r w:rsidR="00CF2351" w:rsidRPr="00B07D79">
        <w:rPr>
          <w:rFonts w:asciiTheme="minorHAnsi" w:hAnsiTheme="minorHAnsi"/>
        </w:rPr>
        <w:t> </w:t>
      </w:r>
      <w:r w:rsidR="00582C7C" w:rsidRPr="00B07D79">
        <w:rPr>
          <w:rFonts w:asciiTheme="minorHAnsi" w:hAnsiTheme="minorHAnsi"/>
        </w:rPr>
        <w:t>zákon č. 201/2012 Sb., o</w:t>
      </w:r>
      <w:r w:rsidR="00CF2351" w:rsidRPr="00B07D79">
        <w:rPr>
          <w:rFonts w:asciiTheme="minorHAnsi" w:hAnsiTheme="minorHAnsi"/>
        </w:rPr>
        <w:t> </w:t>
      </w:r>
      <w:r w:rsidR="00582C7C" w:rsidRPr="00B07D79">
        <w:rPr>
          <w:rFonts w:asciiTheme="minorHAnsi" w:hAnsiTheme="minorHAnsi"/>
        </w:rPr>
        <w:t>ochraně ovzduší, ve znění pozdějších předpisů.</w:t>
      </w:r>
    </w:p>
    <w:p w14:paraId="1F977747" w14:textId="1683E502" w:rsidR="00537933" w:rsidRPr="00B07D79" w:rsidRDefault="00537933" w:rsidP="00B07D79">
      <w:pPr>
        <w:pStyle w:val="Bullet1"/>
        <w:numPr>
          <w:ilvl w:val="0"/>
          <w:numId w:val="150"/>
        </w:numPr>
        <w:spacing w:line="276" w:lineRule="auto"/>
        <w:ind w:left="567" w:hanging="425"/>
        <w:jc w:val="both"/>
        <w:rPr>
          <w:rFonts w:asciiTheme="minorHAnsi" w:hAnsiTheme="minorHAnsi"/>
        </w:rPr>
      </w:pPr>
      <w:r w:rsidRPr="00B07D79">
        <w:rPr>
          <w:rFonts w:asciiTheme="minorHAnsi" w:hAnsiTheme="minorHAnsi"/>
        </w:rPr>
        <w:t>Zákon č. 283/2021 Sb., stavební zákon</w:t>
      </w:r>
      <w:r w:rsidR="00E938AD" w:rsidRPr="00B07D79">
        <w:rPr>
          <w:rFonts w:asciiTheme="minorHAnsi" w:hAnsiTheme="minorHAnsi"/>
        </w:rPr>
        <w:t>, ve znění pozdějších předpisů,</w:t>
      </w:r>
      <w:r w:rsidRPr="00B07D79">
        <w:rPr>
          <w:rFonts w:asciiTheme="minorHAnsi" w:hAnsiTheme="minorHAnsi"/>
        </w:rPr>
        <w:t xml:space="preserve"> byl upraven s</w:t>
      </w:r>
      <w:r w:rsidR="00CF2351" w:rsidRPr="00B07D79">
        <w:rPr>
          <w:rFonts w:asciiTheme="minorHAnsi" w:hAnsiTheme="minorHAnsi"/>
        </w:rPr>
        <w:t> </w:t>
      </w:r>
      <w:r w:rsidRPr="00B07D79">
        <w:rPr>
          <w:rFonts w:asciiTheme="minorHAnsi" w:hAnsiTheme="minorHAnsi"/>
        </w:rPr>
        <w:t>cílem zjednodušit schvalovací proces pro výstavbu dobíjecích stanic – jsou mezi drobnými a</w:t>
      </w:r>
      <w:r w:rsidR="00CF2351" w:rsidRPr="00B07D79">
        <w:rPr>
          <w:rFonts w:asciiTheme="minorHAnsi" w:hAnsiTheme="minorHAnsi"/>
        </w:rPr>
        <w:t> </w:t>
      </w:r>
      <w:r w:rsidRPr="00B07D79">
        <w:rPr>
          <w:rFonts w:asciiTheme="minorHAnsi" w:hAnsiTheme="minorHAnsi"/>
        </w:rPr>
        <w:t xml:space="preserve">jednoduchými stavbami. </w:t>
      </w:r>
    </w:p>
    <w:p w14:paraId="10C7AA19" w14:textId="72E22A7C" w:rsidR="00E938AD" w:rsidRPr="00B07D79" w:rsidRDefault="00E938AD" w:rsidP="00B07D79">
      <w:pPr>
        <w:pStyle w:val="Bullet1"/>
        <w:spacing w:line="276" w:lineRule="auto"/>
        <w:jc w:val="both"/>
        <w:rPr>
          <w:rFonts w:asciiTheme="minorHAnsi" w:hAnsiTheme="minorHAnsi"/>
        </w:rPr>
      </w:pPr>
      <w:r w:rsidRPr="00B07D79">
        <w:rPr>
          <w:rFonts w:asciiTheme="minorHAnsi" w:hAnsiTheme="minorHAnsi"/>
        </w:rPr>
        <w:t>Zákon č. 250/2021 Sb., o</w:t>
      </w:r>
      <w:r w:rsidR="00CF2351" w:rsidRPr="00B07D79">
        <w:rPr>
          <w:rFonts w:asciiTheme="minorHAnsi" w:hAnsiTheme="minorHAnsi"/>
        </w:rPr>
        <w:t> </w:t>
      </w:r>
      <w:r w:rsidRPr="00B07D79">
        <w:rPr>
          <w:rFonts w:asciiTheme="minorHAnsi" w:hAnsiTheme="minorHAnsi"/>
        </w:rPr>
        <w:t>bezpečnosti práce v</w:t>
      </w:r>
      <w:r w:rsidR="00CF2351" w:rsidRPr="00B07D79">
        <w:rPr>
          <w:rFonts w:asciiTheme="minorHAnsi" w:hAnsiTheme="minorHAnsi"/>
        </w:rPr>
        <w:t> </w:t>
      </w:r>
      <w:r w:rsidRPr="00B07D79">
        <w:rPr>
          <w:rFonts w:asciiTheme="minorHAnsi" w:hAnsiTheme="minorHAnsi"/>
        </w:rPr>
        <w:t>souvislosti s</w:t>
      </w:r>
      <w:r w:rsidR="00CF2351" w:rsidRPr="00B07D79">
        <w:rPr>
          <w:rFonts w:asciiTheme="minorHAnsi" w:hAnsiTheme="minorHAnsi"/>
        </w:rPr>
        <w:t> </w:t>
      </w:r>
      <w:r w:rsidRPr="00B07D79">
        <w:rPr>
          <w:rFonts w:asciiTheme="minorHAnsi" w:hAnsiTheme="minorHAnsi"/>
        </w:rPr>
        <w:t>provozem vyhrazených technických zařízení spolu s</w:t>
      </w:r>
      <w:r w:rsidR="00CF2351" w:rsidRPr="00B07D79">
        <w:rPr>
          <w:rFonts w:asciiTheme="minorHAnsi" w:hAnsiTheme="minorHAnsi"/>
        </w:rPr>
        <w:t> </w:t>
      </w:r>
      <w:r w:rsidRPr="00B07D79">
        <w:rPr>
          <w:rFonts w:asciiTheme="minorHAnsi" w:hAnsiTheme="minorHAnsi"/>
        </w:rPr>
        <w:t>nařízením vlády č. 194/2022 Sb., o</w:t>
      </w:r>
      <w:r w:rsidR="00CF2351" w:rsidRPr="00B07D79">
        <w:rPr>
          <w:rFonts w:asciiTheme="minorHAnsi" w:hAnsiTheme="minorHAnsi"/>
        </w:rPr>
        <w:t> </w:t>
      </w:r>
      <w:r w:rsidRPr="00B07D79">
        <w:rPr>
          <w:rFonts w:asciiTheme="minorHAnsi" w:hAnsiTheme="minorHAnsi"/>
        </w:rPr>
        <w:t>požadavcích o</w:t>
      </w:r>
      <w:r w:rsidR="00CF2351" w:rsidRPr="00B07D79">
        <w:rPr>
          <w:rFonts w:asciiTheme="minorHAnsi" w:hAnsiTheme="minorHAnsi"/>
        </w:rPr>
        <w:t> </w:t>
      </w:r>
      <w:r w:rsidRPr="00B07D79">
        <w:rPr>
          <w:rFonts w:asciiTheme="minorHAnsi" w:hAnsiTheme="minorHAnsi"/>
        </w:rPr>
        <w:t>požadavcích na odbornou způsobilost k</w:t>
      </w:r>
      <w:r w:rsidR="00CF2351" w:rsidRPr="00B07D79">
        <w:rPr>
          <w:rFonts w:asciiTheme="minorHAnsi" w:hAnsiTheme="minorHAnsi"/>
        </w:rPr>
        <w:t> </w:t>
      </w:r>
      <w:r w:rsidRPr="00B07D79">
        <w:rPr>
          <w:rFonts w:asciiTheme="minorHAnsi" w:hAnsiTheme="minorHAnsi"/>
        </w:rPr>
        <w:t>výkonu činnosti na elektrických zařízeních a</w:t>
      </w:r>
      <w:r w:rsidR="00CF2351" w:rsidRPr="00B07D79">
        <w:rPr>
          <w:rFonts w:asciiTheme="minorHAnsi" w:hAnsiTheme="minorHAnsi"/>
        </w:rPr>
        <w:t> </w:t>
      </w:r>
      <w:r w:rsidRPr="00B07D79">
        <w:rPr>
          <w:rFonts w:asciiTheme="minorHAnsi" w:hAnsiTheme="minorHAnsi"/>
        </w:rPr>
        <w:t xml:space="preserve">na odbornou způsobilost </w:t>
      </w:r>
      <w:r w:rsidRPr="00B07D79">
        <w:rPr>
          <w:rFonts w:asciiTheme="minorHAnsi" w:hAnsiTheme="minorHAnsi"/>
        </w:rPr>
        <w:lastRenderedPageBreak/>
        <w:t>v</w:t>
      </w:r>
      <w:r w:rsidR="00CF2351" w:rsidRPr="00B07D79">
        <w:rPr>
          <w:rFonts w:asciiTheme="minorHAnsi" w:hAnsiTheme="minorHAnsi"/>
        </w:rPr>
        <w:t> </w:t>
      </w:r>
      <w:r w:rsidRPr="00B07D79">
        <w:rPr>
          <w:rFonts w:asciiTheme="minorHAnsi" w:hAnsiTheme="minorHAnsi"/>
        </w:rPr>
        <w:t>elektrotechnice (nahrazuje vyhlášku č. 50/1978 Sb.). Usnadňuje získání kvalifikace pro práci na konkrétních elektrických vozidlech při dodržení všech bezpečnostních norem. Nově se bude dle kvalifikace rozlišovat mezi elektrotechnikem, osobou znalou, a</w:t>
      </w:r>
      <w:r w:rsidR="00CF2351" w:rsidRPr="00B07D79">
        <w:rPr>
          <w:rFonts w:asciiTheme="minorHAnsi" w:hAnsiTheme="minorHAnsi"/>
        </w:rPr>
        <w:t> </w:t>
      </w:r>
      <w:r w:rsidRPr="00B07D79">
        <w:rPr>
          <w:rFonts w:asciiTheme="minorHAnsi" w:hAnsiTheme="minorHAnsi"/>
        </w:rPr>
        <w:t>osobou poučenou a</w:t>
      </w:r>
      <w:r w:rsidR="00CF2351" w:rsidRPr="00B07D79">
        <w:rPr>
          <w:rFonts w:asciiTheme="minorHAnsi" w:hAnsiTheme="minorHAnsi"/>
        </w:rPr>
        <w:t> </w:t>
      </w:r>
      <w:r w:rsidRPr="00B07D79">
        <w:rPr>
          <w:rFonts w:asciiTheme="minorHAnsi" w:hAnsiTheme="minorHAnsi"/>
        </w:rPr>
        <w:t>dále osobou proškolenou ve smyslu zákoníku práce. V</w:t>
      </w:r>
      <w:r w:rsidR="00CF2351" w:rsidRPr="00B07D79">
        <w:rPr>
          <w:rFonts w:asciiTheme="minorHAnsi" w:hAnsiTheme="minorHAnsi"/>
        </w:rPr>
        <w:t> </w:t>
      </w:r>
      <w:r w:rsidRPr="00B07D79">
        <w:rPr>
          <w:rFonts w:asciiTheme="minorHAnsi" w:hAnsiTheme="minorHAnsi"/>
        </w:rPr>
        <w:t>souladu s</w:t>
      </w:r>
      <w:r w:rsidR="00CF2351" w:rsidRPr="00B07D79">
        <w:rPr>
          <w:rFonts w:asciiTheme="minorHAnsi" w:hAnsiTheme="minorHAnsi"/>
        </w:rPr>
        <w:t> </w:t>
      </w:r>
      <w:r w:rsidRPr="00B07D79">
        <w:rPr>
          <w:rFonts w:asciiTheme="minorHAnsi" w:hAnsiTheme="minorHAnsi"/>
        </w:rPr>
        <w:t>tím budou moci osoby proškolené provádět některé opravy a</w:t>
      </w:r>
      <w:r w:rsidR="00CF2351" w:rsidRPr="00B07D79">
        <w:rPr>
          <w:rFonts w:asciiTheme="minorHAnsi" w:hAnsiTheme="minorHAnsi"/>
        </w:rPr>
        <w:t> </w:t>
      </w:r>
      <w:r w:rsidRPr="00B07D79">
        <w:rPr>
          <w:rFonts w:asciiTheme="minorHAnsi" w:hAnsiTheme="minorHAnsi"/>
        </w:rPr>
        <w:t>servis elektrických vozidel, mimo zásahů do elektrických zařízení. V</w:t>
      </w:r>
      <w:r w:rsidR="00CF2351" w:rsidRPr="00B07D79">
        <w:rPr>
          <w:rFonts w:asciiTheme="minorHAnsi" w:hAnsiTheme="minorHAnsi"/>
        </w:rPr>
        <w:t> </w:t>
      </w:r>
      <w:r w:rsidRPr="00B07D79">
        <w:rPr>
          <w:rFonts w:asciiTheme="minorHAnsi" w:hAnsiTheme="minorHAnsi"/>
        </w:rPr>
        <w:t>roce 2021 byla schválena profesní kvalifikace "Mechanik silničních vozidel s</w:t>
      </w:r>
      <w:r w:rsidR="00CF2351" w:rsidRPr="00B07D79">
        <w:rPr>
          <w:rFonts w:asciiTheme="minorHAnsi" w:hAnsiTheme="minorHAnsi"/>
        </w:rPr>
        <w:t> </w:t>
      </w:r>
      <w:r w:rsidRPr="00B07D79">
        <w:rPr>
          <w:rFonts w:asciiTheme="minorHAnsi" w:hAnsiTheme="minorHAnsi"/>
        </w:rPr>
        <w:t>elektrickým a</w:t>
      </w:r>
      <w:r w:rsidR="00CF2351" w:rsidRPr="00B07D79">
        <w:rPr>
          <w:rFonts w:asciiTheme="minorHAnsi" w:hAnsiTheme="minorHAnsi"/>
        </w:rPr>
        <w:t> </w:t>
      </w:r>
      <w:r w:rsidRPr="00B07D79">
        <w:rPr>
          <w:rFonts w:asciiTheme="minorHAnsi" w:hAnsiTheme="minorHAnsi"/>
        </w:rPr>
        <w:t>hybridním pohonem", která specifikuje požadavky na vzdělání pracovníků, kteří budou provádět servis a</w:t>
      </w:r>
      <w:r w:rsidR="00CF2351" w:rsidRPr="00B07D79">
        <w:rPr>
          <w:rFonts w:asciiTheme="minorHAnsi" w:hAnsiTheme="minorHAnsi"/>
        </w:rPr>
        <w:t> </w:t>
      </w:r>
      <w:r w:rsidRPr="00B07D79">
        <w:rPr>
          <w:rFonts w:asciiTheme="minorHAnsi" w:hAnsiTheme="minorHAnsi"/>
        </w:rPr>
        <w:t>opravy elektrických vozidel.</w:t>
      </w:r>
    </w:p>
    <w:p w14:paraId="7A389CB4" w14:textId="47B0156A" w:rsidR="00003893" w:rsidRPr="00B07D79" w:rsidRDefault="00003893" w:rsidP="00B07D79">
      <w:pPr>
        <w:pStyle w:val="Bullet1"/>
        <w:spacing w:line="276" w:lineRule="auto"/>
        <w:jc w:val="both"/>
        <w:rPr>
          <w:rFonts w:asciiTheme="minorHAnsi" w:hAnsiTheme="minorHAnsi"/>
        </w:rPr>
      </w:pPr>
      <w:r w:rsidRPr="00B07D79">
        <w:rPr>
          <w:rFonts w:asciiTheme="minorHAnsi" w:hAnsiTheme="minorHAnsi"/>
        </w:rPr>
        <w:t>Zákon č. 353/2003 Sb., o</w:t>
      </w:r>
      <w:r w:rsidR="00CF2351" w:rsidRPr="00B07D79">
        <w:rPr>
          <w:rFonts w:asciiTheme="minorHAnsi" w:hAnsiTheme="minorHAnsi"/>
        </w:rPr>
        <w:t> </w:t>
      </w:r>
      <w:r w:rsidRPr="00B07D79">
        <w:rPr>
          <w:rFonts w:asciiTheme="minorHAnsi" w:hAnsiTheme="minorHAnsi"/>
        </w:rPr>
        <w:t>spotřebních daních (zdaňuje minerální oleje včetně LPG) a</w:t>
      </w:r>
      <w:r w:rsidR="00CF2351" w:rsidRPr="00B07D79">
        <w:rPr>
          <w:rFonts w:asciiTheme="minorHAnsi" w:hAnsiTheme="minorHAnsi"/>
        </w:rPr>
        <w:t> </w:t>
      </w:r>
      <w:r w:rsidRPr="00B07D79">
        <w:rPr>
          <w:rFonts w:asciiTheme="minorHAnsi" w:hAnsiTheme="minorHAnsi"/>
        </w:rPr>
        <w:t>část čtyřicátou pátou až čtyřicátou sedmou zákona č. 261/2007 Sb., o</w:t>
      </w:r>
      <w:r w:rsidR="00CF2351" w:rsidRPr="00B07D79">
        <w:rPr>
          <w:rFonts w:asciiTheme="minorHAnsi" w:hAnsiTheme="minorHAnsi"/>
        </w:rPr>
        <w:t> </w:t>
      </w:r>
      <w:r w:rsidRPr="00B07D79">
        <w:rPr>
          <w:rFonts w:asciiTheme="minorHAnsi" w:hAnsiTheme="minorHAnsi"/>
        </w:rPr>
        <w:t>stabilizaci veřejných rozpočtů. Oba dva zákony jednak implementují směrnici 2003/96/ES (uvedenou v</w:t>
      </w:r>
      <w:r w:rsidR="00CF2351" w:rsidRPr="00B07D79">
        <w:rPr>
          <w:rFonts w:asciiTheme="minorHAnsi" w:hAnsiTheme="minorHAnsi"/>
        </w:rPr>
        <w:t> </w:t>
      </w:r>
      <w:r w:rsidRPr="00B07D79">
        <w:rPr>
          <w:rFonts w:asciiTheme="minorHAnsi" w:hAnsiTheme="minorHAnsi"/>
        </w:rPr>
        <w:t>textu materiálu výše) a</w:t>
      </w:r>
      <w:r w:rsidR="00CF2351" w:rsidRPr="00B07D79">
        <w:rPr>
          <w:rFonts w:asciiTheme="minorHAnsi" w:hAnsiTheme="minorHAnsi"/>
        </w:rPr>
        <w:t> </w:t>
      </w:r>
      <w:r w:rsidRPr="00B07D79">
        <w:rPr>
          <w:rFonts w:asciiTheme="minorHAnsi" w:hAnsiTheme="minorHAnsi"/>
        </w:rPr>
        <w:t>jsou již dnes nastaveny tak, že v</w:t>
      </w:r>
      <w:r w:rsidR="00CF2351" w:rsidRPr="00B07D79">
        <w:rPr>
          <w:rFonts w:asciiTheme="minorHAnsi" w:hAnsiTheme="minorHAnsi"/>
        </w:rPr>
        <w:t> </w:t>
      </w:r>
      <w:r w:rsidRPr="00B07D79">
        <w:rPr>
          <w:rFonts w:asciiTheme="minorHAnsi" w:hAnsiTheme="minorHAnsi"/>
        </w:rPr>
        <w:t>oblasti dopravy aplikují výrazně příznivější sazby daně na LPG, CNG a</w:t>
      </w:r>
      <w:r w:rsidR="00CF2351" w:rsidRPr="00B07D79">
        <w:rPr>
          <w:rFonts w:asciiTheme="minorHAnsi" w:hAnsiTheme="minorHAnsi"/>
        </w:rPr>
        <w:t> </w:t>
      </w:r>
      <w:r w:rsidRPr="00B07D79">
        <w:rPr>
          <w:rFonts w:asciiTheme="minorHAnsi" w:hAnsiTheme="minorHAnsi"/>
        </w:rPr>
        <w:t>elektřinu (v přepočtu Kč/GJ) než na tradiční pohonné hmoty.</w:t>
      </w:r>
    </w:p>
    <w:p w14:paraId="56D5499D" w14:textId="53F3DDEF" w:rsidR="00E938AD" w:rsidRPr="00B07D79" w:rsidRDefault="00E938AD" w:rsidP="00B07D79">
      <w:pPr>
        <w:pStyle w:val="Bullet1"/>
        <w:spacing w:line="276" w:lineRule="auto"/>
        <w:jc w:val="both"/>
        <w:rPr>
          <w:rFonts w:asciiTheme="minorHAnsi" w:hAnsiTheme="minorHAnsi"/>
        </w:rPr>
      </w:pPr>
      <w:r w:rsidRPr="00B07D79">
        <w:rPr>
          <w:rFonts w:asciiTheme="minorHAnsi" w:hAnsiTheme="minorHAnsi"/>
        </w:rPr>
        <w:t>Vyhláška č. 266/2021 Sb. kterou se mění vyhláška č. 268/2009 Sb. o</w:t>
      </w:r>
      <w:r w:rsidR="00CF2351" w:rsidRPr="00B07D79">
        <w:rPr>
          <w:rFonts w:asciiTheme="minorHAnsi" w:hAnsiTheme="minorHAnsi"/>
        </w:rPr>
        <w:t> </w:t>
      </w:r>
      <w:r w:rsidRPr="00B07D79">
        <w:rPr>
          <w:rFonts w:asciiTheme="minorHAnsi" w:hAnsiTheme="minorHAnsi"/>
        </w:rPr>
        <w:t>technických požadavcích na stavby – v</w:t>
      </w:r>
      <w:r w:rsidR="00CF2351" w:rsidRPr="00B07D79">
        <w:rPr>
          <w:rFonts w:asciiTheme="minorHAnsi" w:hAnsiTheme="minorHAnsi"/>
        </w:rPr>
        <w:t> </w:t>
      </w:r>
      <w:r w:rsidRPr="00B07D79">
        <w:rPr>
          <w:rFonts w:asciiTheme="minorHAnsi" w:hAnsiTheme="minorHAnsi"/>
        </w:rPr>
        <w:t>souladu s</w:t>
      </w:r>
      <w:r w:rsidR="00CF2351" w:rsidRPr="00B07D79">
        <w:rPr>
          <w:rFonts w:asciiTheme="minorHAnsi" w:hAnsiTheme="minorHAnsi"/>
        </w:rPr>
        <w:t> </w:t>
      </w:r>
      <w:r w:rsidRPr="00B07D79">
        <w:rPr>
          <w:rFonts w:asciiTheme="minorHAnsi" w:hAnsiTheme="minorHAnsi"/>
        </w:rPr>
        <w:t>požadavky směrnice č. 2018/844 o</w:t>
      </w:r>
      <w:r w:rsidR="00CF2351" w:rsidRPr="00B07D79">
        <w:rPr>
          <w:rFonts w:asciiTheme="minorHAnsi" w:hAnsiTheme="minorHAnsi"/>
        </w:rPr>
        <w:t> </w:t>
      </w:r>
      <w:r w:rsidRPr="00B07D79">
        <w:rPr>
          <w:rFonts w:asciiTheme="minorHAnsi" w:hAnsiTheme="minorHAnsi"/>
        </w:rPr>
        <w:t>energetické náročnosti budov stanovuje pravidla pro vybavení budov dobíjecími stanicemi a</w:t>
      </w:r>
      <w:r w:rsidR="00CF2351" w:rsidRPr="00B07D79">
        <w:rPr>
          <w:rFonts w:asciiTheme="minorHAnsi" w:hAnsiTheme="minorHAnsi"/>
        </w:rPr>
        <w:t> </w:t>
      </w:r>
      <w:r w:rsidRPr="00B07D79">
        <w:rPr>
          <w:rFonts w:asciiTheme="minorHAnsi" w:hAnsiTheme="minorHAnsi"/>
        </w:rPr>
        <w:t>předřazenou kabeláž pro pozdější instalaci dobíjecí stanice.</w:t>
      </w:r>
    </w:p>
    <w:p w14:paraId="4F75DF48" w14:textId="292159C4" w:rsidR="00E938AD" w:rsidRPr="00B07D79" w:rsidRDefault="00E938AD" w:rsidP="00B07D79">
      <w:pPr>
        <w:pStyle w:val="Bullet1"/>
        <w:spacing w:line="276" w:lineRule="auto"/>
        <w:jc w:val="both"/>
        <w:rPr>
          <w:rFonts w:asciiTheme="minorHAnsi" w:hAnsiTheme="minorHAnsi"/>
        </w:rPr>
      </w:pPr>
      <w:r w:rsidRPr="00B07D79">
        <w:rPr>
          <w:rFonts w:asciiTheme="minorHAnsi" w:hAnsiTheme="minorHAnsi"/>
        </w:rPr>
        <w:t>Vyhláška Ministerstva práce a</w:t>
      </w:r>
      <w:r w:rsidR="00CF2351" w:rsidRPr="00B07D79">
        <w:rPr>
          <w:rFonts w:asciiTheme="minorHAnsi" w:hAnsiTheme="minorHAnsi"/>
        </w:rPr>
        <w:t> </w:t>
      </w:r>
      <w:r w:rsidRPr="00B07D79">
        <w:rPr>
          <w:rFonts w:asciiTheme="minorHAnsi" w:hAnsiTheme="minorHAnsi"/>
        </w:rPr>
        <w:t>sociálních věcí č. 467/2022 Sb. (Vyhláška o</w:t>
      </w:r>
      <w:r w:rsidR="00CF2351" w:rsidRPr="00B07D79">
        <w:rPr>
          <w:rFonts w:asciiTheme="minorHAnsi" w:hAnsiTheme="minorHAnsi"/>
        </w:rPr>
        <w:t> </w:t>
      </w:r>
      <w:r w:rsidRPr="00B07D79">
        <w:rPr>
          <w:rFonts w:asciiTheme="minorHAnsi" w:hAnsiTheme="minorHAnsi"/>
        </w:rPr>
        <w:t>změně sazby základní náhrady za používání silničních motorových vozidel a</w:t>
      </w:r>
      <w:r w:rsidR="00CF2351" w:rsidRPr="00B07D79">
        <w:rPr>
          <w:rFonts w:asciiTheme="minorHAnsi" w:hAnsiTheme="minorHAnsi"/>
        </w:rPr>
        <w:t> </w:t>
      </w:r>
      <w:r w:rsidRPr="00B07D79">
        <w:rPr>
          <w:rFonts w:asciiTheme="minorHAnsi" w:hAnsiTheme="minorHAnsi"/>
        </w:rPr>
        <w:t>stravného a</w:t>
      </w:r>
      <w:r w:rsidR="00CF2351" w:rsidRPr="00B07D79">
        <w:rPr>
          <w:rFonts w:asciiTheme="minorHAnsi" w:hAnsiTheme="minorHAnsi"/>
        </w:rPr>
        <w:t> </w:t>
      </w:r>
      <w:r w:rsidRPr="00B07D79">
        <w:rPr>
          <w:rFonts w:asciiTheme="minorHAnsi" w:hAnsiTheme="minorHAnsi"/>
        </w:rPr>
        <w:t>o stanovení průměrné ceny pohonných hmot pro účely poskytování cestovních náhrad), která uvádí elektřinu jako palivo a</w:t>
      </w:r>
      <w:r w:rsidR="00CF2351" w:rsidRPr="00B07D79">
        <w:rPr>
          <w:rFonts w:asciiTheme="minorHAnsi" w:hAnsiTheme="minorHAnsi"/>
        </w:rPr>
        <w:t> </w:t>
      </w:r>
      <w:r w:rsidRPr="00B07D79">
        <w:rPr>
          <w:rFonts w:asciiTheme="minorHAnsi" w:hAnsiTheme="minorHAnsi"/>
        </w:rPr>
        <w:t>stanovuje cenu za dobitou kWh. Tzv. referenční cena elektřiny se používá pro účely výpočtů zejména pro účely dobíjení v</w:t>
      </w:r>
      <w:r w:rsidR="00CF2351" w:rsidRPr="00B07D79">
        <w:rPr>
          <w:rFonts w:asciiTheme="minorHAnsi" w:hAnsiTheme="minorHAnsi"/>
        </w:rPr>
        <w:t> </w:t>
      </w:r>
      <w:r w:rsidRPr="00B07D79">
        <w:rPr>
          <w:rFonts w:asciiTheme="minorHAnsi" w:hAnsiTheme="minorHAnsi"/>
        </w:rPr>
        <w:t>domácnosti, ale i</w:t>
      </w:r>
      <w:r w:rsidR="00CF2351" w:rsidRPr="00B07D79">
        <w:rPr>
          <w:rFonts w:asciiTheme="minorHAnsi" w:hAnsiTheme="minorHAnsi"/>
        </w:rPr>
        <w:t> </w:t>
      </w:r>
      <w:r w:rsidRPr="00B07D79">
        <w:rPr>
          <w:rFonts w:asciiTheme="minorHAnsi" w:hAnsiTheme="minorHAnsi"/>
        </w:rPr>
        <w:t>pro ostatní situace, kdy zaměstnanec není schopen prokázat konkrétní náklady na dobíjení vozidla použitého pro pracovní účely (i nadále má však zaměstnanec přednostně právo na náhradu v</w:t>
      </w:r>
      <w:r w:rsidR="00CF2351" w:rsidRPr="00B07D79">
        <w:rPr>
          <w:rFonts w:asciiTheme="minorHAnsi" w:hAnsiTheme="minorHAnsi"/>
        </w:rPr>
        <w:t> </w:t>
      </w:r>
      <w:r w:rsidRPr="00B07D79">
        <w:rPr>
          <w:rFonts w:asciiTheme="minorHAnsi" w:hAnsiTheme="minorHAnsi"/>
        </w:rPr>
        <w:t>prokázané skutečné výši).</w:t>
      </w:r>
    </w:p>
    <w:p w14:paraId="78039F6D" w14:textId="0B103817" w:rsidR="005064AE" w:rsidRPr="00B07D79" w:rsidRDefault="00E938AD" w:rsidP="000E5B59">
      <w:pPr>
        <w:pStyle w:val="Nadpis3"/>
      </w:pPr>
      <w:bookmarkStart w:id="195" w:name="_Toc173240061"/>
      <w:r w:rsidRPr="00B07D79">
        <w:t>Metodické a</w:t>
      </w:r>
      <w:r w:rsidR="00CF2351" w:rsidRPr="00B07D79">
        <w:t> </w:t>
      </w:r>
      <w:r w:rsidRPr="00B07D79">
        <w:t>další dokumenty</w:t>
      </w:r>
      <w:bookmarkEnd w:id="195"/>
    </w:p>
    <w:p w14:paraId="3E08035F" w14:textId="7CB21C10" w:rsidR="00E938AD" w:rsidRPr="00B07D79" w:rsidRDefault="00E938AD" w:rsidP="00B07D79">
      <w:pPr>
        <w:pStyle w:val="Bullet1"/>
        <w:spacing w:line="276" w:lineRule="auto"/>
        <w:jc w:val="both"/>
        <w:rPr>
          <w:rFonts w:asciiTheme="minorHAnsi" w:hAnsiTheme="minorHAnsi"/>
        </w:rPr>
      </w:pPr>
      <w:r w:rsidRPr="00B07D79">
        <w:rPr>
          <w:rFonts w:asciiTheme="minorHAnsi" w:hAnsiTheme="minorHAnsi"/>
        </w:rPr>
        <w:t>Metodické doporučení Ministerstva vnitra – Generálního ředitelství Hasičského záchranného sboru ČR "Požární bezpečnost staveb – elektromobilita" z</w:t>
      </w:r>
      <w:r w:rsidR="00CF2351" w:rsidRPr="00B07D79">
        <w:rPr>
          <w:rFonts w:asciiTheme="minorHAnsi" w:hAnsiTheme="minorHAnsi"/>
        </w:rPr>
        <w:t> </w:t>
      </w:r>
      <w:r w:rsidRPr="00B07D79">
        <w:rPr>
          <w:rFonts w:asciiTheme="minorHAnsi" w:hAnsiTheme="minorHAnsi"/>
        </w:rPr>
        <w:t>dubna 2021 – toto metodické doporučení se vztahuje na prostory pro výrobu a</w:t>
      </w:r>
      <w:r w:rsidR="00CF2351" w:rsidRPr="00B07D79">
        <w:rPr>
          <w:rFonts w:asciiTheme="minorHAnsi" w:hAnsiTheme="minorHAnsi"/>
        </w:rPr>
        <w:t> </w:t>
      </w:r>
      <w:r w:rsidRPr="00B07D79">
        <w:rPr>
          <w:rFonts w:asciiTheme="minorHAnsi" w:hAnsiTheme="minorHAnsi"/>
        </w:rPr>
        <w:t>skladování baterií pro elektromobily a</w:t>
      </w:r>
      <w:r w:rsidR="00CF2351" w:rsidRPr="00B07D79">
        <w:rPr>
          <w:rFonts w:asciiTheme="minorHAnsi" w:hAnsiTheme="minorHAnsi"/>
        </w:rPr>
        <w:t> </w:t>
      </w:r>
      <w:r w:rsidRPr="00B07D79">
        <w:rPr>
          <w:rFonts w:asciiTheme="minorHAnsi" w:hAnsiTheme="minorHAnsi"/>
        </w:rPr>
        <w:t>manipulaci s</w:t>
      </w:r>
      <w:r w:rsidR="00CF2351" w:rsidRPr="00B07D79">
        <w:rPr>
          <w:rFonts w:asciiTheme="minorHAnsi" w:hAnsiTheme="minorHAnsi"/>
        </w:rPr>
        <w:t> </w:t>
      </w:r>
      <w:r w:rsidRPr="00B07D79">
        <w:rPr>
          <w:rFonts w:asciiTheme="minorHAnsi" w:hAnsiTheme="minorHAnsi"/>
        </w:rPr>
        <w:t>nimi a</w:t>
      </w:r>
      <w:r w:rsidR="00CF2351" w:rsidRPr="00B07D79">
        <w:rPr>
          <w:rFonts w:asciiTheme="minorHAnsi" w:hAnsiTheme="minorHAnsi"/>
        </w:rPr>
        <w:t> </w:t>
      </w:r>
      <w:r w:rsidRPr="00B07D79">
        <w:rPr>
          <w:rFonts w:asciiTheme="minorHAnsi" w:hAnsiTheme="minorHAnsi"/>
        </w:rPr>
        <w:t>na prostory pro parkování a</w:t>
      </w:r>
      <w:r w:rsidR="00CF2351" w:rsidRPr="00B07D79">
        <w:rPr>
          <w:rFonts w:asciiTheme="minorHAnsi" w:hAnsiTheme="minorHAnsi"/>
        </w:rPr>
        <w:t> </w:t>
      </w:r>
      <w:r w:rsidRPr="00B07D79">
        <w:rPr>
          <w:rFonts w:asciiTheme="minorHAnsi" w:hAnsiTheme="minorHAnsi"/>
        </w:rPr>
        <w:t>nabíjení elektromobilů v</w:t>
      </w:r>
      <w:r w:rsidR="00CF2351" w:rsidRPr="00B07D79">
        <w:rPr>
          <w:rFonts w:asciiTheme="minorHAnsi" w:hAnsiTheme="minorHAnsi"/>
        </w:rPr>
        <w:t> </w:t>
      </w:r>
      <w:r w:rsidRPr="00B07D79">
        <w:rPr>
          <w:rFonts w:asciiTheme="minorHAnsi" w:hAnsiTheme="minorHAnsi"/>
        </w:rPr>
        <w:t>budovách. Nyní na tento proces navazuje návrh novelizace vyhlášky č. 23/2008 Sb. o</w:t>
      </w:r>
      <w:r w:rsidR="00CF2351" w:rsidRPr="00B07D79">
        <w:rPr>
          <w:rFonts w:asciiTheme="minorHAnsi" w:hAnsiTheme="minorHAnsi"/>
        </w:rPr>
        <w:t> </w:t>
      </w:r>
      <w:r w:rsidRPr="00B07D79">
        <w:rPr>
          <w:rFonts w:asciiTheme="minorHAnsi" w:hAnsiTheme="minorHAnsi"/>
        </w:rPr>
        <w:t>technických podmínkách požární ochrany staveb.</w:t>
      </w:r>
    </w:p>
    <w:p w14:paraId="54762735" w14:textId="4FE73DE5" w:rsidR="00BD0582" w:rsidRPr="00B07D79" w:rsidRDefault="00BD0582" w:rsidP="00B07D79">
      <w:pPr>
        <w:pStyle w:val="Bullet1"/>
        <w:spacing w:line="276" w:lineRule="auto"/>
        <w:jc w:val="both"/>
        <w:rPr>
          <w:rFonts w:asciiTheme="minorHAnsi" w:hAnsiTheme="minorHAnsi"/>
        </w:rPr>
      </w:pPr>
      <w:r w:rsidRPr="00B07D79">
        <w:rPr>
          <w:rFonts w:asciiTheme="minorHAnsi" w:hAnsiTheme="minorHAnsi"/>
        </w:rPr>
        <w:t>Příručka "Daňové otázky elektromobility" – její aktuální verze je od konce roku 2021 k</w:t>
      </w:r>
      <w:r w:rsidR="00CF2351" w:rsidRPr="00B07D79">
        <w:rPr>
          <w:rFonts w:asciiTheme="minorHAnsi" w:hAnsiTheme="minorHAnsi"/>
        </w:rPr>
        <w:t> </w:t>
      </w:r>
      <w:r w:rsidRPr="00B07D79">
        <w:rPr>
          <w:rFonts w:asciiTheme="minorHAnsi" w:hAnsiTheme="minorHAnsi"/>
        </w:rPr>
        <w:t>dispozici na webových stránkách Ministerstva financí. Cílem je odpovědět na klíčové otázky daňových postupů, které mohou napomoci rozvoji elektromobility a</w:t>
      </w:r>
      <w:r w:rsidR="00CF2351" w:rsidRPr="00B07D79">
        <w:rPr>
          <w:rFonts w:asciiTheme="minorHAnsi" w:hAnsiTheme="minorHAnsi"/>
        </w:rPr>
        <w:t> </w:t>
      </w:r>
      <w:r w:rsidRPr="00B07D79">
        <w:rPr>
          <w:rFonts w:asciiTheme="minorHAnsi" w:hAnsiTheme="minorHAnsi"/>
        </w:rPr>
        <w:t>pomoci odstranit nejistotu zájemců o</w:t>
      </w:r>
      <w:r w:rsidR="00CF2351" w:rsidRPr="00B07D79">
        <w:rPr>
          <w:rFonts w:asciiTheme="minorHAnsi" w:hAnsiTheme="minorHAnsi"/>
        </w:rPr>
        <w:t> </w:t>
      </w:r>
      <w:r w:rsidRPr="00B07D79">
        <w:rPr>
          <w:rFonts w:asciiTheme="minorHAnsi" w:hAnsiTheme="minorHAnsi"/>
        </w:rPr>
        <w:t xml:space="preserve">její využívání. </w:t>
      </w:r>
    </w:p>
    <w:p w14:paraId="2BB1AF81" w14:textId="0E68CE9E" w:rsidR="00E938AD" w:rsidRPr="00B07D79" w:rsidRDefault="00BD0582" w:rsidP="00B07D79">
      <w:pPr>
        <w:pStyle w:val="Bullet1"/>
        <w:spacing w:line="276" w:lineRule="auto"/>
        <w:jc w:val="both"/>
        <w:rPr>
          <w:rFonts w:asciiTheme="minorHAnsi" w:hAnsiTheme="minorHAnsi"/>
        </w:rPr>
      </w:pPr>
      <w:r w:rsidRPr="00B07D79">
        <w:rPr>
          <w:rFonts w:asciiTheme="minorHAnsi" w:hAnsiTheme="minorHAnsi"/>
        </w:rPr>
        <w:t>Metodický pokyn k</w:t>
      </w:r>
      <w:r w:rsidR="00CF2351" w:rsidRPr="00B07D79">
        <w:rPr>
          <w:rFonts w:asciiTheme="minorHAnsi" w:hAnsiTheme="minorHAnsi"/>
        </w:rPr>
        <w:t> </w:t>
      </w:r>
      <w:r w:rsidRPr="00B07D79">
        <w:rPr>
          <w:rFonts w:asciiTheme="minorHAnsi" w:hAnsiTheme="minorHAnsi"/>
        </w:rPr>
        <w:t>instalaci dobíjecích stanic (wallboxů) v</w:t>
      </w:r>
      <w:r w:rsidR="00CF2351" w:rsidRPr="00B07D79">
        <w:rPr>
          <w:rFonts w:asciiTheme="minorHAnsi" w:hAnsiTheme="minorHAnsi"/>
        </w:rPr>
        <w:t> </w:t>
      </w:r>
      <w:r w:rsidRPr="00B07D79">
        <w:rPr>
          <w:rFonts w:asciiTheme="minorHAnsi" w:hAnsiTheme="minorHAnsi"/>
        </w:rPr>
        <w:t>bytových domech – zveřejněn začátkem roku 2023 na webových stránkách MMR a</w:t>
      </w:r>
      <w:r w:rsidR="00CF2351" w:rsidRPr="00B07D79">
        <w:rPr>
          <w:rFonts w:asciiTheme="minorHAnsi" w:hAnsiTheme="minorHAnsi"/>
        </w:rPr>
        <w:t> </w:t>
      </w:r>
      <w:r w:rsidRPr="00B07D79">
        <w:rPr>
          <w:rFonts w:asciiTheme="minorHAnsi" w:hAnsiTheme="minorHAnsi"/>
        </w:rPr>
        <w:t>MPO. Cílem tohoto materiálu je shrnout pravidla pro instalaci a</w:t>
      </w:r>
      <w:r w:rsidR="00CF2351" w:rsidRPr="00B07D79">
        <w:rPr>
          <w:rFonts w:asciiTheme="minorHAnsi" w:hAnsiTheme="minorHAnsi"/>
        </w:rPr>
        <w:t> </w:t>
      </w:r>
      <w:r w:rsidRPr="00B07D79">
        <w:rPr>
          <w:rFonts w:asciiTheme="minorHAnsi" w:hAnsiTheme="minorHAnsi"/>
        </w:rPr>
        <w:t>provoz dobíjecích stanic o</w:t>
      </w:r>
      <w:r w:rsidR="00CF2351" w:rsidRPr="00B07D79">
        <w:rPr>
          <w:rFonts w:asciiTheme="minorHAnsi" w:hAnsiTheme="minorHAnsi"/>
        </w:rPr>
        <w:t> </w:t>
      </w:r>
      <w:r w:rsidRPr="00B07D79">
        <w:rPr>
          <w:rFonts w:asciiTheme="minorHAnsi" w:hAnsiTheme="minorHAnsi"/>
        </w:rPr>
        <w:t>výkonu do 22 kW v</w:t>
      </w:r>
      <w:r w:rsidR="00CF2351" w:rsidRPr="00B07D79">
        <w:rPr>
          <w:rFonts w:asciiTheme="minorHAnsi" w:hAnsiTheme="minorHAnsi"/>
        </w:rPr>
        <w:t> </w:t>
      </w:r>
      <w:r w:rsidRPr="00B07D79">
        <w:rPr>
          <w:rFonts w:asciiTheme="minorHAnsi" w:hAnsiTheme="minorHAnsi"/>
        </w:rPr>
        <w:t>bytových domech s</w:t>
      </w:r>
      <w:r w:rsidR="00CF2351" w:rsidRPr="00B07D79">
        <w:rPr>
          <w:rFonts w:asciiTheme="minorHAnsi" w:hAnsiTheme="minorHAnsi"/>
        </w:rPr>
        <w:t> </w:t>
      </w:r>
      <w:r w:rsidRPr="00B07D79">
        <w:rPr>
          <w:rFonts w:asciiTheme="minorHAnsi" w:hAnsiTheme="minorHAnsi"/>
        </w:rPr>
        <w:t>více byty s</w:t>
      </w:r>
      <w:r w:rsidR="00CF2351" w:rsidRPr="00B07D79">
        <w:rPr>
          <w:rFonts w:asciiTheme="minorHAnsi" w:hAnsiTheme="minorHAnsi"/>
        </w:rPr>
        <w:t> </w:t>
      </w:r>
      <w:r w:rsidRPr="00B07D79">
        <w:rPr>
          <w:rFonts w:asciiTheme="minorHAnsi" w:hAnsiTheme="minorHAnsi"/>
        </w:rPr>
        <w:t>různými vlastníky (společenství vlastníků jednotek), podpořit rozvoj neveřejné dobíjecí infrastruktury v</w:t>
      </w:r>
      <w:r w:rsidR="00CF2351" w:rsidRPr="00B07D79">
        <w:rPr>
          <w:rFonts w:asciiTheme="minorHAnsi" w:hAnsiTheme="minorHAnsi"/>
        </w:rPr>
        <w:t> </w:t>
      </w:r>
      <w:r w:rsidRPr="00B07D79">
        <w:rPr>
          <w:rFonts w:asciiTheme="minorHAnsi" w:hAnsiTheme="minorHAnsi"/>
        </w:rPr>
        <w:t>ČR.</w:t>
      </w:r>
    </w:p>
    <w:p w14:paraId="3C5B2C5D" w14:textId="0DFE1E68" w:rsidR="00D53D36" w:rsidRPr="00B07D79" w:rsidRDefault="00E52529" w:rsidP="00B07D79">
      <w:pPr>
        <w:pStyle w:val="Bullet1"/>
        <w:spacing w:line="276" w:lineRule="auto"/>
        <w:jc w:val="both"/>
        <w:rPr>
          <w:rFonts w:asciiTheme="minorHAnsi" w:hAnsiTheme="minorHAnsi"/>
        </w:rPr>
      </w:pPr>
      <w:r w:rsidRPr="00B07D79">
        <w:rPr>
          <w:rFonts w:asciiTheme="minorHAnsi" w:hAnsiTheme="minorHAnsi"/>
        </w:rPr>
        <w:lastRenderedPageBreak/>
        <w:t>Nařízení Evropského parlamentu a</w:t>
      </w:r>
      <w:r w:rsidR="00CF2351" w:rsidRPr="00B07D79">
        <w:rPr>
          <w:rFonts w:asciiTheme="minorHAnsi" w:hAnsiTheme="minorHAnsi"/>
        </w:rPr>
        <w:t> </w:t>
      </w:r>
      <w:r w:rsidRPr="00B07D79">
        <w:rPr>
          <w:rFonts w:asciiTheme="minorHAnsi" w:hAnsiTheme="minorHAnsi"/>
        </w:rPr>
        <w:t>Rady (EU) 2018/1999 o</w:t>
      </w:r>
      <w:r w:rsidR="00CF2351" w:rsidRPr="00B07D79">
        <w:rPr>
          <w:rFonts w:asciiTheme="minorHAnsi" w:hAnsiTheme="minorHAnsi"/>
        </w:rPr>
        <w:t> </w:t>
      </w:r>
      <w:r w:rsidRPr="00B07D79">
        <w:rPr>
          <w:rFonts w:asciiTheme="minorHAnsi" w:hAnsiTheme="minorHAnsi"/>
        </w:rPr>
        <w:t>správě energetické unie a</w:t>
      </w:r>
      <w:r w:rsidR="00CF2351" w:rsidRPr="00B07D79">
        <w:rPr>
          <w:rFonts w:asciiTheme="minorHAnsi" w:hAnsiTheme="minorHAnsi"/>
        </w:rPr>
        <w:t> </w:t>
      </w:r>
      <w:r w:rsidRPr="00B07D79">
        <w:rPr>
          <w:rFonts w:asciiTheme="minorHAnsi" w:hAnsiTheme="minorHAnsi"/>
        </w:rPr>
        <w:t>opatření v</w:t>
      </w:r>
      <w:r w:rsidR="00CF2351" w:rsidRPr="00B07D79">
        <w:rPr>
          <w:rFonts w:asciiTheme="minorHAnsi" w:hAnsiTheme="minorHAnsi"/>
        </w:rPr>
        <w:t> </w:t>
      </w:r>
      <w:r w:rsidRPr="00B07D79">
        <w:rPr>
          <w:rFonts w:asciiTheme="minorHAnsi" w:hAnsiTheme="minorHAnsi"/>
        </w:rPr>
        <w:t xml:space="preserve">oblasti klimatu stanoví požadavek zpracovat Národní klimaticko energetický plán. </w:t>
      </w:r>
    </w:p>
    <w:p w14:paraId="58DDC51E" w14:textId="5517880E" w:rsidR="000E0B25" w:rsidRPr="00B07D79" w:rsidRDefault="000E0B25" w:rsidP="00B07D79">
      <w:pPr>
        <w:pStyle w:val="Bullet1"/>
        <w:numPr>
          <w:ilvl w:val="0"/>
          <w:numId w:val="135"/>
        </w:numPr>
        <w:spacing w:line="276" w:lineRule="auto"/>
        <w:ind w:left="567" w:hanging="141"/>
        <w:jc w:val="both"/>
        <w:rPr>
          <w:rFonts w:asciiTheme="minorHAnsi" w:hAnsiTheme="minorHAnsi"/>
        </w:rPr>
      </w:pPr>
      <w:r w:rsidRPr="00B07D79">
        <w:rPr>
          <w:rFonts w:asciiTheme="minorHAnsi" w:hAnsiTheme="minorHAnsi"/>
        </w:rPr>
        <w:t>Národní klimaticko</w:t>
      </w:r>
      <w:r w:rsidR="00A04D58" w:rsidRPr="00B07D79">
        <w:rPr>
          <w:rFonts w:asciiTheme="minorHAnsi" w:hAnsiTheme="minorHAnsi"/>
        </w:rPr>
        <w:t>-</w:t>
      </w:r>
      <w:r w:rsidRPr="00B07D79">
        <w:rPr>
          <w:rFonts w:asciiTheme="minorHAnsi" w:hAnsiTheme="minorHAnsi"/>
        </w:rPr>
        <w:t xml:space="preserve">energetický </w:t>
      </w:r>
      <w:r w:rsidR="00A04D58" w:rsidRPr="00B07D79">
        <w:rPr>
          <w:rFonts w:asciiTheme="minorHAnsi" w:hAnsiTheme="minorHAnsi"/>
        </w:rPr>
        <w:t>plán – stěžejní</w:t>
      </w:r>
      <w:r w:rsidRPr="00B07D79">
        <w:rPr>
          <w:rFonts w:asciiTheme="minorHAnsi" w:hAnsiTheme="minorHAnsi"/>
        </w:rPr>
        <w:t xml:space="preserve"> část tohoto plánu tvoří nastavení příspěvku ČR ke klimaticko-energetickým cílům EU v</w:t>
      </w:r>
      <w:r w:rsidR="00CF2351" w:rsidRPr="00B07D79">
        <w:rPr>
          <w:rFonts w:asciiTheme="minorHAnsi" w:hAnsiTheme="minorHAnsi"/>
        </w:rPr>
        <w:t> </w:t>
      </w:r>
      <w:r w:rsidRPr="00B07D79">
        <w:rPr>
          <w:rFonts w:asciiTheme="minorHAnsi" w:hAnsiTheme="minorHAnsi"/>
        </w:rPr>
        <w:t>oblasti snižování emisí, zvyšování podílu obnovitelných zdrojů energie a</w:t>
      </w:r>
      <w:r w:rsidR="00CF2351" w:rsidRPr="00B07D79">
        <w:rPr>
          <w:rFonts w:asciiTheme="minorHAnsi" w:hAnsiTheme="minorHAnsi"/>
        </w:rPr>
        <w:t> </w:t>
      </w:r>
      <w:r w:rsidRPr="00B07D79">
        <w:rPr>
          <w:rFonts w:asciiTheme="minorHAnsi" w:hAnsiTheme="minorHAnsi"/>
        </w:rPr>
        <w:t xml:space="preserve">zvyšování energetické účinnosti. </w:t>
      </w:r>
    </w:p>
    <w:p w14:paraId="31DB5376" w14:textId="65E2116D" w:rsidR="00231292" w:rsidRPr="0074122A" w:rsidRDefault="000E0B25" w:rsidP="00B07D79">
      <w:pPr>
        <w:pStyle w:val="Bullet1"/>
        <w:spacing w:line="276" w:lineRule="auto"/>
        <w:jc w:val="both"/>
        <w:rPr>
          <w:rFonts w:asciiTheme="minorHAnsi" w:hAnsiTheme="minorHAnsi"/>
        </w:rPr>
      </w:pPr>
      <w:r w:rsidRPr="00B07D79">
        <w:rPr>
          <w:rFonts w:asciiTheme="minorHAnsi" w:hAnsiTheme="minorHAnsi"/>
        </w:rPr>
        <w:t>Směrnice o</w:t>
      </w:r>
      <w:r w:rsidR="00CF2351" w:rsidRPr="00B07D79">
        <w:rPr>
          <w:rFonts w:asciiTheme="minorHAnsi" w:hAnsiTheme="minorHAnsi"/>
        </w:rPr>
        <w:t> </w:t>
      </w:r>
      <w:r w:rsidRPr="00B07D79">
        <w:rPr>
          <w:rFonts w:asciiTheme="minorHAnsi" w:hAnsiTheme="minorHAnsi"/>
        </w:rPr>
        <w:t>obnovitelných zdrojích energie (RED III) Dodavatelé paliv musí buďto dosáhnout snížení emisí skleníkových plynů v</w:t>
      </w:r>
      <w:r w:rsidR="00CF2351" w:rsidRPr="00B07D79">
        <w:rPr>
          <w:rFonts w:asciiTheme="minorHAnsi" w:hAnsiTheme="minorHAnsi"/>
        </w:rPr>
        <w:t> </w:t>
      </w:r>
      <w:r w:rsidRPr="00B07D79">
        <w:rPr>
          <w:rFonts w:asciiTheme="minorHAnsi" w:hAnsiTheme="minorHAnsi"/>
        </w:rPr>
        <w:t xml:space="preserve">rámci výroby </w:t>
      </w:r>
      <w:r w:rsidR="00A04D58" w:rsidRPr="00B07D79">
        <w:rPr>
          <w:rFonts w:asciiTheme="minorHAnsi" w:hAnsiTheme="minorHAnsi"/>
        </w:rPr>
        <w:t>svých paliv</w:t>
      </w:r>
      <w:r w:rsidRPr="00B07D79">
        <w:rPr>
          <w:rFonts w:asciiTheme="minorHAnsi" w:hAnsiTheme="minorHAnsi"/>
        </w:rPr>
        <w:t xml:space="preserve"> o</w:t>
      </w:r>
      <w:r w:rsidR="00CF2351" w:rsidRPr="00B07D79">
        <w:rPr>
          <w:rFonts w:asciiTheme="minorHAnsi" w:hAnsiTheme="minorHAnsi"/>
        </w:rPr>
        <w:t> </w:t>
      </w:r>
      <w:r w:rsidRPr="00B07D79">
        <w:rPr>
          <w:rFonts w:asciiTheme="minorHAnsi" w:hAnsiTheme="minorHAnsi"/>
        </w:rPr>
        <w:t>14,5 %, nebo musí dosáhnout alespoň 29% podílu obnovitelné energie na výrobě svých paliv. Projekt MOSUMO vypočítá potřebný vozový park k</w:t>
      </w:r>
      <w:r w:rsidR="00CF2351" w:rsidRPr="00B07D79">
        <w:rPr>
          <w:rFonts w:asciiTheme="minorHAnsi" w:hAnsiTheme="minorHAnsi"/>
        </w:rPr>
        <w:t> </w:t>
      </w:r>
      <w:r w:rsidRPr="00B07D79">
        <w:rPr>
          <w:rFonts w:asciiTheme="minorHAnsi" w:hAnsiTheme="minorHAnsi"/>
        </w:rPr>
        <w:t>dosažení těchto cílů. Minimální podíl RFNBO na spotřebě paliv v</w:t>
      </w:r>
      <w:r w:rsidR="00CF2351" w:rsidRPr="00B07D79">
        <w:rPr>
          <w:rFonts w:asciiTheme="minorHAnsi" w:hAnsiTheme="minorHAnsi"/>
        </w:rPr>
        <w:t> </w:t>
      </w:r>
      <w:r w:rsidRPr="00B07D79">
        <w:rPr>
          <w:rFonts w:asciiTheme="minorHAnsi" w:hAnsiTheme="minorHAnsi"/>
        </w:rPr>
        <w:t>dopravě musí být alespoň 1 %. Podle předběžných výpočtů by se pro ČR jednalo o</w:t>
      </w:r>
      <w:r w:rsidR="00CF2351" w:rsidRPr="00B07D79">
        <w:rPr>
          <w:rFonts w:asciiTheme="minorHAnsi" w:hAnsiTheme="minorHAnsi"/>
        </w:rPr>
        <w:t> </w:t>
      </w:r>
      <w:r w:rsidRPr="00B07D79">
        <w:rPr>
          <w:rFonts w:asciiTheme="minorHAnsi" w:hAnsiTheme="minorHAnsi"/>
        </w:rPr>
        <w:t>asi 13 600 tun ročně</w:t>
      </w:r>
      <w:r w:rsidR="00B93262" w:rsidRPr="00B07D79">
        <w:rPr>
          <w:rFonts w:asciiTheme="minorHAnsi" w:hAnsiTheme="minorHAnsi"/>
        </w:rPr>
        <w:t>.</w:t>
      </w:r>
    </w:p>
    <w:p w14:paraId="5E2D623D" w14:textId="48560558" w:rsidR="001B66B5" w:rsidRPr="009D0E24" w:rsidRDefault="001B66B5" w:rsidP="000E5B59">
      <w:pPr>
        <w:pStyle w:val="Nadpis2"/>
        <w:rPr>
          <w:sz w:val="32"/>
          <w:szCs w:val="36"/>
        </w:rPr>
      </w:pPr>
      <w:bookmarkStart w:id="196" w:name="_Toc159332160"/>
      <w:bookmarkStart w:id="197" w:name="_Toc159336641"/>
      <w:bookmarkStart w:id="198" w:name="_Toc160021744"/>
      <w:bookmarkStart w:id="199" w:name="_Toc162447434"/>
      <w:bookmarkStart w:id="200" w:name="_Toc173240062"/>
      <w:r w:rsidRPr="009D0E24">
        <w:rPr>
          <w:sz w:val="32"/>
          <w:szCs w:val="36"/>
        </w:rPr>
        <w:t>Strategické dokumenty a</w:t>
      </w:r>
      <w:r w:rsidR="00CF2351" w:rsidRPr="009D0E24">
        <w:rPr>
          <w:sz w:val="32"/>
          <w:szCs w:val="36"/>
        </w:rPr>
        <w:t> </w:t>
      </w:r>
      <w:r w:rsidRPr="009D0E24">
        <w:rPr>
          <w:sz w:val="32"/>
          <w:szCs w:val="36"/>
        </w:rPr>
        <w:t>studie s</w:t>
      </w:r>
      <w:r w:rsidR="00CF2351" w:rsidRPr="009D0E24">
        <w:rPr>
          <w:sz w:val="32"/>
          <w:szCs w:val="36"/>
        </w:rPr>
        <w:t> </w:t>
      </w:r>
      <w:r w:rsidRPr="009D0E24">
        <w:rPr>
          <w:sz w:val="32"/>
          <w:szCs w:val="36"/>
        </w:rPr>
        <w:t>vazbou na čistou mobilitu v</w:t>
      </w:r>
      <w:r w:rsidR="00CF2351" w:rsidRPr="009D0E24">
        <w:rPr>
          <w:sz w:val="32"/>
          <w:szCs w:val="36"/>
        </w:rPr>
        <w:t> </w:t>
      </w:r>
      <w:r w:rsidRPr="009D0E24">
        <w:rPr>
          <w:sz w:val="32"/>
          <w:szCs w:val="36"/>
        </w:rPr>
        <w:t>ČR</w:t>
      </w:r>
      <w:bookmarkEnd w:id="196"/>
      <w:bookmarkEnd w:id="197"/>
      <w:bookmarkEnd w:id="198"/>
      <w:bookmarkEnd w:id="199"/>
      <w:bookmarkEnd w:id="200"/>
      <w:r w:rsidRPr="009D0E24">
        <w:rPr>
          <w:sz w:val="32"/>
          <w:szCs w:val="36"/>
        </w:rPr>
        <w:t xml:space="preserve"> </w:t>
      </w:r>
    </w:p>
    <w:p w14:paraId="0E1EB66C" w14:textId="5BCD687B" w:rsidR="001B66B5" w:rsidRPr="009D0E24" w:rsidRDefault="001B66B5" w:rsidP="00B07D79">
      <w:pPr>
        <w:spacing w:line="276" w:lineRule="auto"/>
        <w:jc w:val="both"/>
        <w:rPr>
          <w:rFonts w:asciiTheme="minorHAnsi" w:hAnsiTheme="minorHAnsi"/>
          <w:color w:val="385623" w:themeColor="accent6" w:themeShade="80"/>
          <w:sz w:val="24"/>
          <w:szCs w:val="28"/>
        </w:rPr>
      </w:pPr>
      <w:r w:rsidRPr="009D0E24">
        <w:rPr>
          <w:rFonts w:asciiTheme="minorHAnsi" w:hAnsiTheme="minorHAnsi"/>
          <w:color w:val="385623" w:themeColor="accent6" w:themeShade="80"/>
          <w:sz w:val="24"/>
          <w:szCs w:val="28"/>
        </w:rPr>
        <w:t>Národní strategie</w:t>
      </w:r>
    </w:p>
    <w:p w14:paraId="6586902E" w14:textId="59126A4B" w:rsidR="00486931" w:rsidRPr="00B07D79" w:rsidRDefault="00976A7E" w:rsidP="00B07D79">
      <w:pPr>
        <w:pStyle w:val="Bullet1"/>
        <w:spacing w:line="276" w:lineRule="auto"/>
        <w:jc w:val="both"/>
        <w:rPr>
          <w:rFonts w:asciiTheme="minorHAnsi" w:hAnsiTheme="minorHAnsi"/>
        </w:rPr>
      </w:pPr>
      <w:r w:rsidRPr="00B07D79">
        <w:rPr>
          <w:rFonts w:asciiTheme="minorHAnsi" w:hAnsiTheme="minorHAnsi"/>
        </w:rPr>
        <w:t xml:space="preserve">Dopravní politika </w:t>
      </w:r>
      <w:r w:rsidR="00486931" w:rsidRPr="00B07D79">
        <w:rPr>
          <w:rFonts w:asciiTheme="minorHAnsi" w:hAnsiTheme="minorHAnsi"/>
        </w:rPr>
        <w:t xml:space="preserve">ČR </w:t>
      </w:r>
      <w:r w:rsidR="002F0ED3" w:rsidRPr="00B07D79">
        <w:rPr>
          <w:rFonts w:asciiTheme="minorHAnsi" w:hAnsiTheme="minorHAnsi"/>
        </w:rPr>
        <w:t xml:space="preserve">pro období </w:t>
      </w:r>
      <w:r w:rsidRPr="00B07D79">
        <w:rPr>
          <w:rFonts w:asciiTheme="minorHAnsi" w:hAnsiTheme="minorHAnsi"/>
        </w:rPr>
        <w:t>2021-202</w:t>
      </w:r>
      <w:r w:rsidR="002D1082" w:rsidRPr="00B07D79">
        <w:rPr>
          <w:rFonts w:asciiTheme="minorHAnsi" w:hAnsiTheme="minorHAnsi"/>
        </w:rPr>
        <w:t>7</w:t>
      </w:r>
      <w:r w:rsidRPr="00B07D79">
        <w:rPr>
          <w:rFonts w:asciiTheme="minorHAnsi" w:hAnsiTheme="minorHAnsi"/>
        </w:rPr>
        <w:t xml:space="preserve"> </w:t>
      </w:r>
      <w:r w:rsidR="00486931" w:rsidRPr="00B07D79">
        <w:rPr>
          <w:rFonts w:asciiTheme="minorHAnsi" w:hAnsiTheme="minorHAnsi"/>
        </w:rPr>
        <w:t>s</w:t>
      </w:r>
      <w:r w:rsidR="00CF2351" w:rsidRPr="00B07D79">
        <w:rPr>
          <w:rFonts w:asciiTheme="minorHAnsi" w:hAnsiTheme="minorHAnsi"/>
        </w:rPr>
        <w:t> </w:t>
      </w:r>
      <w:r w:rsidR="00486931" w:rsidRPr="00B07D79">
        <w:rPr>
          <w:rFonts w:asciiTheme="minorHAnsi" w:hAnsiTheme="minorHAnsi"/>
        </w:rPr>
        <w:t>výhledem do 2050 (2021)</w:t>
      </w:r>
    </w:p>
    <w:p w14:paraId="3501AA75" w14:textId="67238E4A" w:rsidR="00D77D71" w:rsidRPr="00B07D79" w:rsidRDefault="00686571" w:rsidP="00B07D79">
      <w:pPr>
        <w:pStyle w:val="Bullet1"/>
        <w:numPr>
          <w:ilvl w:val="0"/>
          <w:numId w:val="0"/>
        </w:numPr>
        <w:spacing w:line="276" w:lineRule="auto"/>
        <w:ind w:left="567"/>
        <w:jc w:val="both"/>
        <w:rPr>
          <w:rFonts w:asciiTheme="minorHAnsi" w:hAnsiTheme="minorHAnsi" w:cs="Arial"/>
        </w:rPr>
      </w:pPr>
      <w:r w:rsidRPr="00B07D79">
        <w:rPr>
          <w:rFonts w:asciiTheme="minorHAnsi" w:hAnsiTheme="minorHAnsi" w:cs="Arial"/>
        </w:rPr>
        <w:t>Byla schválena usnesením vlády č. 259/2021 (dále jen „Dopravní politika“).</w:t>
      </w:r>
      <w:r w:rsidR="00D77D71" w:rsidRPr="00B07D79">
        <w:rPr>
          <w:rFonts w:asciiTheme="minorHAnsi" w:hAnsiTheme="minorHAnsi" w:cs="Arial"/>
        </w:rPr>
        <w:t xml:space="preserve"> Má</w:t>
      </w:r>
      <w:r w:rsidR="00C949FA" w:rsidRPr="00B07D79">
        <w:rPr>
          <w:rFonts w:asciiTheme="minorHAnsi" w:hAnsiTheme="minorHAnsi" w:cs="Arial"/>
        </w:rPr>
        <w:t> </w:t>
      </w:r>
      <w:r w:rsidR="00D77D71" w:rsidRPr="00B07D79">
        <w:rPr>
          <w:rFonts w:asciiTheme="minorHAnsi" w:hAnsiTheme="minorHAnsi" w:cs="Arial"/>
        </w:rPr>
        <w:t>stanoveny tři navazující kroky vedoucí postupně k</w:t>
      </w:r>
      <w:r w:rsidR="00CF2351" w:rsidRPr="00B07D79">
        <w:rPr>
          <w:rFonts w:asciiTheme="minorHAnsi" w:hAnsiTheme="minorHAnsi" w:cs="Arial"/>
        </w:rPr>
        <w:t> </w:t>
      </w:r>
      <w:r w:rsidR="00D77D71" w:rsidRPr="00B07D79">
        <w:rPr>
          <w:rFonts w:asciiTheme="minorHAnsi" w:hAnsiTheme="minorHAnsi" w:cs="Arial"/>
        </w:rPr>
        <w:t>bezemisní dopravě a</w:t>
      </w:r>
      <w:r w:rsidR="00CF2351" w:rsidRPr="00B07D79">
        <w:rPr>
          <w:rFonts w:asciiTheme="minorHAnsi" w:hAnsiTheme="minorHAnsi" w:cs="Arial"/>
        </w:rPr>
        <w:t> </w:t>
      </w:r>
      <w:r w:rsidR="00D77D71" w:rsidRPr="00B07D79">
        <w:rPr>
          <w:rFonts w:asciiTheme="minorHAnsi" w:hAnsiTheme="minorHAnsi" w:cs="Arial"/>
        </w:rPr>
        <w:t>energetické efektivitě dopravy:</w:t>
      </w:r>
    </w:p>
    <w:p w14:paraId="1BF51968" w14:textId="0DE6A1EF" w:rsidR="00D77D71" w:rsidRPr="00B07D79" w:rsidRDefault="00D77D71" w:rsidP="00B07D79">
      <w:pPr>
        <w:pStyle w:val="Odstavecseseznamem"/>
        <w:numPr>
          <w:ilvl w:val="0"/>
          <w:numId w:val="144"/>
        </w:numPr>
        <w:spacing w:line="276" w:lineRule="auto"/>
        <w:ind w:hanging="357"/>
        <w:contextualSpacing w:val="0"/>
        <w:jc w:val="both"/>
        <w:rPr>
          <w:rFonts w:asciiTheme="minorHAnsi" w:hAnsiTheme="minorHAnsi" w:cs="Arial"/>
        </w:rPr>
      </w:pPr>
      <w:r w:rsidRPr="00B07D79">
        <w:rPr>
          <w:rFonts w:asciiTheme="minorHAnsi" w:hAnsiTheme="minorHAnsi" w:cs="Arial"/>
        </w:rPr>
        <w:t>úspory v</w:t>
      </w:r>
      <w:r w:rsidR="00CF2351" w:rsidRPr="00B07D79">
        <w:rPr>
          <w:rFonts w:asciiTheme="minorHAnsi" w:hAnsiTheme="minorHAnsi" w:cs="Arial"/>
        </w:rPr>
        <w:t> </w:t>
      </w:r>
      <w:r w:rsidRPr="00B07D79">
        <w:rPr>
          <w:rFonts w:asciiTheme="minorHAnsi" w:hAnsiTheme="minorHAnsi" w:cs="Arial"/>
        </w:rPr>
        <w:t>mobilitě, a</w:t>
      </w:r>
      <w:r w:rsidR="00CF2351" w:rsidRPr="00B07D79">
        <w:rPr>
          <w:rFonts w:asciiTheme="minorHAnsi" w:hAnsiTheme="minorHAnsi" w:cs="Arial"/>
        </w:rPr>
        <w:t> </w:t>
      </w:r>
      <w:r w:rsidRPr="00B07D79">
        <w:rPr>
          <w:rFonts w:asciiTheme="minorHAnsi" w:hAnsiTheme="minorHAnsi" w:cs="Arial"/>
        </w:rPr>
        <w:t>to tak, že nebudou narušeny potřeby konektivity a</w:t>
      </w:r>
      <w:r w:rsidR="00CF2351" w:rsidRPr="00B07D79">
        <w:rPr>
          <w:rFonts w:asciiTheme="minorHAnsi" w:hAnsiTheme="minorHAnsi" w:cs="Arial"/>
        </w:rPr>
        <w:t> </w:t>
      </w:r>
      <w:r w:rsidRPr="00B07D79">
        <w:rPr>
          <w:rFonts w:asciiTheme="minorHAnsi" w:hAnsiTheme="minorHAnsi" w:cs="Arial"/>
        </w:rPr>
        <w:t>ekonomického rozvoje,</w:t>
      </w:r>
    </w:p>
    <w:p w14:paraId="24DC6886" w14:textId="4598BBE4" w:rsidR="00D77D71" w:rsidRPr="00B07D79" w:rsidRDefault="00D77D71" w:rsidP="00B07D79">
      <w:pPr>
        <w:pStyle w:val="Odstavecseseznamem"/>
        <w:numPr>
          <w:ilvl w:val="0"/>
          <w:numId w:val="144"/>
        </w:numPr>
        <w:spacing w:line="276" w:lineRule="auto"/>
        <w:ind w:hanging="357"/>
        <w:contextualSpacing w:val="0"/>
        <w:jc w:val="both"/>
        <w:rPr>
          <w:rFonts w:asciiTheme="minorHAnsi" w:hAnsiTheme="minorHAnsi" w:cs="Arial"/>
        </w:rPr>
      </w:pPr>
      <w:r w:rsidRPr="00B07D79">
        <w:rPr>
          <w:rFonts w:asciiTheme="minorHAnsi" w:hAnsiTheme="minorHAnsi" w:cs="Arial"/>
        </w:rPr>
        <w:t>kooperace jednotlivých druhů dopravy s</w:t>
      </w:r>
      <w:r w:rsidR="00CF2351" w:rsidRPr="00B07D79">
        <w:rPr>
          <w:rFonts w:asciiTheme="minorHAnsi" w:hAnsiTheme="minorHAnsi" w:cs="Arial"/>
        </w:rPr>
        <w:t> </w:t>
      </w:r>
      <w:r w:rsidRPr="00B07D79">
        <w:rPr>
          <w:rFonts w:asciiTheme="minorHAnsi" w:hAnsiTheme="minorHAnsi" w:cs="Arial"/>
        </w:rPr>
        <w:t>cílem využít potenciál jednotlivých druhů dopravy efektivity ekonomické, energetické a</w:t>
      </w:r>
      <w:r w:rsidR="00CF2351" w:rsidRPr="00B07D79">
        <w:rPr>
          <w:rFonts w:asciiTheme="minorHAnsi" w:hAnsiTheme="minorHAnsi" w:cs="Arial"/>
        </w:rPr>
        <w:t> </w:t>
      </w:r>
      <w:r w:rsidRPr="00B07D79">
        <w:rPr>
          <w:rFonts w:asciiTheme="minorHAnsi" w:hAnsiTheme="minorHAnsi" w:cs="Arial"/>
        </w:rPr>
        <w:t xml:space="preserve">environmentální se zohledněním sociálních dopadů. </w:t>
      </w:r>
    </w:p>
    <w:p w14:paraId="6B8626D9" w14:textId="4DFB13AA" w:rsidR="00D77D71" w:rsidRPr="00B07D79" w:rsidRDefault="00D77D71" w:rsidP="00B07D79">
      <w:pPr>
        <w:pStyle w:val="Odstavecseseznamem"/>
        <w:numPr>
          <w:ilvl w:val="0"/>
          <w:numId w:val="144"/>
        </w:numPr>
        <w:spacing w:line="276" w:lineRule="auto"/>
        <w:ind w:hanging="357"/>
        <w:contextualSpacing w:val="0"/>
        <w:jc w:val="both"/>
        <w:rPr>
          <w:rFonts w:asciiTheme="minorHAnsi" w:hAnsiTheme="minorHAnsi" w:cs="Arial"/>
        </w:rPr>
      </w:pPr>
      <w:r w:rsidRPr="00B07D79">
        <w:rPr>
          <w:rFonts w:asciiTheme="minorHAnsi" w:hAnsiTheme="minorHAnsi" w:cs="Arial"/>
        </w:rPr>
        <w:t>dekarbonizace jednotlivých druhů dopravy.</w:t>
      </w:r>
    </w:p>
    <w:p w14:paraId="4B49152A" w14:textId="6395C43A"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Státní politika životního prostředí ČR 2030 s</w:t>
      </w:r>
      <w:r w:rsidR="00CF2351" w:rsidRPr="00B07D79">
        <w:rPr>
          <w:rFonts w:asciiTheme="minorHAnsi" w:hAnsiTheme="minorHAnsi"/>
        </w:rPr>
        <w:t> </w:t>
      </w:r>
      <w:r w:rsidRPr="00B07D79">
        <w:rPr>
          <w:rFonts w:asciiTheme="minorHAnsi" w:hAnsiTheme="minorHAnsi"/>
        </w:rPr>
        <w:t>výhledem do 2050 (2021)</w:t>
      </w:r>
    </w:p>
    <w:p w14:paraId="068D65ED" w14:textId="7777777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Aktualizace národního programu snižování emisí ČR (2019)</w:t>
      </w:r>
    </w:p>
    <w:p w14:paraId="798BF682" w14:textId="2802662E"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Politika ochrany klimatu v</w:t>
      </w:r>
      <w:r w:rsidR="00CF2351" w:rsidRPr="00B07D79">
        <w:rPr>
          <w:rFonts w:asciiTheme="minorHAnsi" w:hAnsiTheme="minorHAnsi"/>
        </w:rPr>
        <w:t> </w:t>
      </w:r>
      <w:r w:rsidRPr="00B07D79">
        <w:rPr>
          <w:rFonts w:asciiTheme="minorHAnsi" w:hAnsiTheme="minorHAnsi"/>
        </w:rPr>
        <w:t xml:space="preserve">ČR (2017) </w:t>
      </w:r>
    </w:p>
    <w:p w14:paraId="097CC906" w14:textId="14513615"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 xml:space="preserve">Státní program </w:t>
      </w:r>
      <w:r w:rsidR="001D1529" w:rsidRPr="00B07D79">
        <w:rPr>
          <w:rFonts w:asciiTheme="minorHAnsi" w:hAnsiTheme="minorHAnsi"/>
        </w:rPr>
        <w:t>environmentálního vzdělávání, výchovy a</w:t>
      </w:r>
      <w:r w:rsidR="00CF2351" w:rsidRPr="00B07D79">
        <w:rPr>
          <w:rFonts w:asciiTheme="minorHAnsi" w:hAnsiTheme="minorHAnsi"/>
        </w:rPr>
        <w:t> </w:t>
      </w:r>
      <w:r w:rsidR="001D1529" w:rsidRPr="00B07D79">
        <w:rPr>
          <w:rFonts w:asciiTheme="minorHAnsi" w:hAnsiTheme="minorHAnsi"/>
        </w:rPr>
        <w:t>osvěty a</w:t>
      </w:r>
      <w:r w:rsidR="00CF2351" w:rsidRPr="00B07D79">
        <w:rPr>
          <w:rFonts w:asciiTheme="minorHAnsi" w:hAnsiTheme="minorHAnsi"/>
        </w:rPr>
        <w:t> </w:t>
      </w:r>
      <w:r w:rsidR="001D1529" w:rsidRPr="00B07D79">
        <w:rPr>
          <w:rFonts w:asciiTheme="minorHAnsi" w:hAnsiTheme="minorHAnsi"/>
        </w:rPr>
        <w:t xml:space="preserve">environmentálního poradenství </w:t>
      </w:r>
      <w:r w:rsidRPr="00B07D79">
        <w:rPr>
          <w:rFonts w:asciiTheme="minorHAnsi" w:hAnsiTheme="minorHAnsi"/>
        </w:rPr>
        <w:t xml:space="preserve">na léta 2016-2025 </w:t>
      </w:r>
    </w:p>
    <w:p w14:paraId="13389EF5" w14:textId="7777777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aktualizovaná Státní energetická koncepce</w:t>
      </w:r>
    </w:p>
    <w:p w14:paraId="7E36E42F" w14:textId="7777777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Národní akční plán pro chytré sítě</w:t>
      </w:r>
    </w:p>
    <w:p w14:paraId="1ADCCE58" w14:textId="7777777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Národní energeticko-klimatický plán</w:t>
      </w:r>
    </w:p>
    <w:p w14:paraId="23E4D5C5" w14:textId="7777777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Vodíková strategie ČR</w:t>
      </w:r>
    </w:p>
    <w:p w14:paraId="50771540" w14:textId="7B683277" w:rsidR="00507057" w:rsidRPr="00B07D79" w:rsidRDefault="00507057" w:rsidP="00B07D79">
      <w:pPr>
        <w:pStyle w:val="Bullet1"/>
        <w:spacing w:line="276" w:lineRule="auto"/>
        <w:jc w:val="both"/>
        <w:rPr>
          <w:rFonts w:asciiTheme="minorHAnsi" w:hAnsiTheme="minorHAnsi"/>
        </w:rPr>
      </w:pPr>
      <w:r w:rsidRPr="00B07D79">
        <w:rPr>
          <w:rFonts w:asciiTheme="minorHAnsi" w:hAnsiTheme="minorHAnsi"/>
        </w:rPr>
        <w:t>Dopravní politika ČR pro období 2021-2027 s</w:t>
      </w:r>
      <w:r w:rsidR="00CF2351" w:rsidRPr="00B07D79">
        <w:rPr>
          <w:rFonts w:asciiTheme="minorHAnsi" w:hAnsiTheme="minorHAnsi"/>
        </w:rPr>
        <w:t> </w:t>
      </w:r>
      <w:r w:rsidRPr="00B07D79">
        <w:rPr>
          <w:rFonts w:asciiTheme="minorHAnsi" w:hAnsiTheme="minorHAnsi"/>
        </w:rPr>
        <w:t>výhledem do roku 2050</w:t>
      </w:r>
    </w:p>
    <w:p w14:paraId="1CE9AB34" w14:textId="77777777" w:rsidR="001B66B5" w:rsidRPr="009D0E24" w:rsidRDefault="001B66B5" w:rsidP="00B07D79">
      <w:pPr>
        <w:spacing w:line="276" w:lineRule="auto"/>
        <w:jc w:val="both"/>
        <w:rPr>
          <w:rFonts w:asciiTheme="minorHAnsi" w:hAnsiTheme="minorHAnsi"/>
          <w:color w:val="385623" w:themeColor="accent6" w:themeShade="80"/>
          <w:sz w:val="24"/>
          <w:szCs w:val="28"/>
        </w:rPr>
      </w:pPr>
      <w:r w:rsidRPr="009D0E24">
        <w:rPr>
          <w:rFonts w:asciiTheme="minorHAnsi" w:hAnsiTheme="minorHAnsi"/>
          <w:color w:val="385623" w:themeColor="accent6" w:themeShade="80"/>
          <w:sz w:val="24"/>
          <w:szCs w:val="28"/>
        </w:rPr>
        <w:t>Relevantní studie</w:t>
      </w:r>
    </w:p>
    <w:p w14:paraId="4B59AC0D" w14:textId="69661AFE"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Studie o</w:t>
      </w:r>
      <w:r w:rsidR="00CF2351" w:rsidRPr="00B07D79">
        <w:rPr>
          <w:rFonts w:asciiTheme="minorHAnsi" w:hAnsiTheme="minorHAnsi"/>
        </w:rPr>
        <w:t> </w:t>
      </w:r>
      <w:r w:rsidRPr="00B07D79">
        <w:rPr>
          <w:rFonts w:asciiTheme="minorHAnsi" w:hAnsiTheme="minorHAnsi"/>
        </w:rPr>
        <w:t>vývoji dopravy z</w:t>
      </w:r>
      <w:r w:rsidR="00CF2351" w:rsidRPr="00B07D79">
        <w:rPr>
          <w:rFonts w:asciiTheme="minorHAnsi" w:hAnsiTheme="minorHAnsi"/>
        </w:rPr>
        <w:t> </w:t>
      </w:r>
      <w:r w:rsidRPr="00B07D79">
        <w:rPr>
          <w:rFonts w:asciiTheme="minorHAnsi" w:hAnsiTheme="minorHAnsi"/>
        </w:rPr>
        <w:t>hlediska životního prostředí v</w:t>
      </w:r>
      <w:r w:rsidR="00CF2351" w:rsidRPr="00B07D79">
        <w:rPr>
          <w:rFonts w:asciiTheme="minorHAnsi" w:hAnsiTheme="minorHAnsi"/>
        </w:rPr>
        <w:t> </w:t>
      </w:r>
      <w:r w:rsidRPr="00B07D79">
        <w:rPr>
          <w:rFonts w:asciiTheme="minorHAnsi" w:hAnsiTheme="minorHAnsi"/>
        </w:rPr>
        <w:t>České republice za rok 2020</w:t>
      </w:r>
    </w:p>
    <w:p w14:paraId="4A2A5779" w14:textId="18E6F9D1"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Projekt „Rozvoj veřejné dobíjecí infrastruktury v</w:t>
      </w:r>
      <w:r w:rsidR="00CF2351" w:rsidRPr="00B07D79">
        <w:rPr>
          <w:rFonts w:asciiTheme="minorHAnsi" w:hAnsiTheme="minorHAnsi"/>
        </w:rPr>
        <w:t> </w:t>
      </w:r>
      <w:r w:rsidRPr="00B07D79">
        <w:rPr>
          <w:rFonts w:asciiTheme="minorHAnsi" w:hAnsiTheme="minorHAnsi"/>
        </w:rPr>
        <w:t>ČR“</w:t>
      </w:r>
    </w:p>
    <w:p w14:paraId="556A943F" w14:textId="6B22EAF7" w:rsidR="001B66B5" w:rsidRPr="00B07D79" w:rsidRDefault="001B66B5" w:rsidP="00B07D79">
      <w:pPr>
        <w:pStyle w:val="Bullet1"/>
        <w:spacing w:line="276" w:lineRule="auto"/>
        <w:jc w:val="both"/>
        <w:rPr>
          <w:rFonts w:asciiTheme="minorHAnsi" w:hAnsiTheme="minorHAnsi"/>
        </w:rPr>
      </w:pPr>
      <w:r w:rsidRPr="00B07D79">
        <w:rPr>
          <w:rFonts w:asciiTheme="minorHAnsi" w:hAnsiTheme="minorHAnsi"/>
        </w:rPr>
        <w:t>Projekt “Návrh strategického rámce vysokoškolského vzdělávání pro sektor automotive”</w:t>
      </w:r>
    </w:p>
    <w:p w14:paraId="5E0FB0B9" w14:textId="68E77213" w:rsidR="00A04D58" w:rsidRPr="00B07D79" w:rsidRDefault="00A04D58" w:rsidP="00B07D79">
      <w:pPr>
        <w:pStyle w:val="Bullet1"/>
        <w:spacing w:line="276" w:lineRule="auto"/>
        <w:jc w:val="both"/>
        <w:rPr>
          <w:rFonts w:asciiTheme="minorHAnsi" w:hAnsiTheme="minorHAnsi"/>
        </w:rPr>
      </w:pPr>
      <w:r w:rsidRPr="00B07D79">
        <w:rPr>
          <w:rFonts w:asciiTheme="minorHAnsi" w:hAnsiTheme="minorHAnsi"/>
        </w:rPr>
        <w:lastRenderedPageBreak/>
        <w:t>Projekt Technologické agentury ČR financovaný z</w:t>
      </w:r>
      <w:r w:rsidR="00CF2351" w:rsidRPr="00B07D79">
        <w:rPr>
          <w:rFonts w:asciiTheme="minorHAnsi" w:hAnsiTheme="minorHAnsi"/>
        </w:rPr>
        <w:t> </w:t>
      </w:r>
      <w:r w:rsidRPr="00B07D79">
        <w:rPr>
          <w:rFonts w:asciiTheme="minorHAnsi" w:hAnsiTheme="minorHAnsi"/>
        </w:rPr>
        <w:t>programu BETA2 (MPO ve spolupráci s</w:t>
      </w:r>
      <w:r w:rsidR="00CF2351" w:rsidRPr="00B07D79">
        <w:rPr>
          <w:rFonts w:asciiTheme="minorHAnsi" w:hAnsiTheme="minorHAnsi"/>
        </w:rPr>
        <w:t> </w:t>
      </w:r>
      <w:r w:rsidRPr="00B07D79">
        <w:rPr>
          <w:rFonts w:asciiTheme="minorHAnsi" w:hAnsiTheme="minorHAnsi"/>
        </w:rPr>
        <w:t>MŠMT), který má pomoci lépe připravit absolventy vysokých škol tak, aby měli vědomosti odpovídající novým trendům v</w:t>
      </w:r>
      <w:r w:rsidR="00CF2351" w:rsidRPr="00B07D79">
        <w:rPr>
          <w:rFonts w:asciiTheme="minorHAnsi" w:hAnsiTheme="minorHAnsi"/>
        </w:rPr>
        <w:t> </w:t>
      </w:r>
      <w:r w:rsidRPr="00B07D79">
        <w:rPr>
          <w:rFonts w:asciiTheme="minorHAnsi" w:hAnsiTheme="minorHAnsi"/>
        </w:rPr>
        <w:t>automobilovém průmyslu, včetně čisté mobility.</w:t>
      </w:r>
    </w:p>
    <w:p w14:paraId="6CD44BA9" w14:textId="1724DDD8" w:rsidR="00280986" w:rsidRPr="009D0E24" w:rsidRDefault="00280986" w:rsidP="000E5B59">
      <w:pPr>
        <w:pStyle w:val="Nadpis2"/>
        <w:rPr>
          <w:sz w:val="32"/>
          <w:szCs w:val="36"/>
        </w:rPr>
      </w:pPr>
      <w:bookmarkStart w:id="201" w:name="_Toc159332161"/>
      <w:bookmarkStart w:id="202" w:name="_Toc159336642"/>
      <w:bookmarkStart w:id="203" w:name="_Toc160021745"/>
      <w:bookmarkStart w:id="204" w:name="_Toc162447435"/>
      <w:bookmarkStart w:id="205" w:name="_Toc173240063"/>
      <w:r w:rsidRPr="009D0E24">
        <w:rPr>
          <w:sz w:val="32"/>
          <w:szCs w:val="36"/>
        </w:rPr>
        <w:t xml:space="preserve">Stávající </w:t>
      </w:r>
      <w:r w:rsidR="00E938AD" w:rsidRPr="009D0E24">
        <w:rPr>
          <w:sz w:val="32"/>
          <w:szCs w:val="36"/>
        </w:rPr>
        <w:t>podpory</w:t>
      </w:r>
      <w:r w:rsidRPr="009D0E24">
        <w:rPr>
          <w:sz w:val="32"/>
          <w:szCs w:val="36"/>
        </w:rPr>
        <w:t xml:space="preserve"> k</w:t>
      </w:r>
      <w:r w:rsidR="00CF2351" w:rsidRPr="009D0E24">
        <w:rPr>
          <w:sz w:val="32"/>
          <w:szCs w:val="36"/>
        </w:rPr>
        <w:t> </w:t>
      </w:r>
      <w:r w:rsidRPr="009D0E24">
        <w:rPr>
          <w:sz w:val="32"/>
          <w:szCs w:val="36"/>
        </w:rPr>
        <w:t>rozvoji čisté mobility v</w:t>
      </w:r>
      <w:r w:rsidR="00CF2351" w:rsidRPr="009D0E24">
        <w:rPr>
          <w:sz w:val="32"/>
          <w:szCs w:val="36"/>
        </w:rPr>
        <w:t> </w:t>
      </w:r>
      <w:r w:rsidR="00761B8D" w:rsidRPr="009D0E24">
        <w:rPr>
          <w:sz w:val="32"/>
          <w:szCs w:val="36"/>
        </w:rPr>
        <w:t xml:space="preserve">silniční dopravě </w:t>
      </w:r>
      <w:r w:rsidRPr="009D0E24">
        <w:rPr>
          <w:sz w:val="32"/>
          <w:szCs w:val="36"/>
        </w:rPr>
        <w:t>v</w:t>
      </w:r>
      <w:r w:rsidR="00CF2351" w:rsidRPr="009D0E24">
        <w:rPr>
          <w:sz w:val="32"/>
          <w:szCs w:val="36"/>
        </w:rPr>
        <w:t> </w:t>
      </w:r>
      <w:r w:rsidRPr="009D0E24">
        <w:rPr>
          <w:sz w:val="32"/>
          <w:szCs w:val="36"/>
        </w:rPr>
        <w:t>ČR</w:t>
      </w:r>
      <w:bookmarkEnd w:id="201"/>
      <w:bookmarkEnd w:id="202"/>
      <w:bookmarkEnd w:id="203"/>
      <w:bookmarkEnd w:id="204"/>
      <w:bookmarkEnd w:id="205"/>
    </w:p>
    <w:p w14:paraId="4A2AF804" w14:textId="73756D76" w:rsidR="00280986" w:rsidRPr="00B07D79" w:rsidRDefault="00280986" w:rsidP="00B07D79">
      <w:pPr>
        <w:spacing w:line="276" w:lineRule="auto"/>
        <w:jc w:val="both"/>
        <w:rPr>
          <w:rFonts w:asciiTheme="minorHAnsi" w:hAnsiTheme="minorHAnsi"/>
        </w:rPr>
      </w:pPr>
      <w:r w:rsidRPr="00B07D79">
        <w:rPr>
          <w:rFonts w:asciiTheme="minorHAnsi" w:hAnsiTheme="minorHAnsi"/>
        </w:rPr>
        <w:t>V současné době jsou vypsány tyto výzvy na podporu pořízení vozidel a</w:t>
      </w:r>
      <w:r w:rsidR="00CF2351" w:rsidRPr="00B07D79">
        <w:rPr>
          <w:rFonts w:asciiTheme="minorHAnsi" w:hAnsiTheme="minorHAnsi"/>
        </w:rPr>
        <w:t> </w:t>
      </w:r>
      <w:r w:rsidRPr="00B07D79">
        <w:rPr>
          <w:rFonts w:asciiTheme="minorHAnsi" w:hAnsiTheme="minorHAnsi"/>
        </w:rPr>
        <w:t>dobíjecí infrastruktury:</w:t>
      </w:r>
    </w:p>
    <w:p w14:paraId="6D799E19" w14:textId="2792D49F"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MŽP: výzvy z</w:t>
      </w:r>
      <w:r w:rsidR="00CF2351" w:rsidRPr="00B07D79">
        <w:rPr>
          <w:rFonts w:asciiTheme="minorHAnsi" w:hAnsiTheme="minorHAnsi"/>
        </w:rPr>
        <w:t> </w:t>
      </w:r>
      <w:r w:rsidRPr="00B07D79">
        <w:rPr>
          <w:rFonts w:asciiTheme="minorHAnsi" w:hAnsiTheme="minorHAnsi"/>
        </w:rPr>
        <w:t>programu Nová zelená úsporám (alokace 144 mil. Kč z</w:t>
      </w:r>
      <w:r w:rsidR="00CF2351" w:rsidRPr="00B07D79">
        <w:rPr>
          <w:rFonts w:asciiTheme="minorHAnsi" w:hAnsiTheme="minorHAnsi"/>
        </w:rPr>
        <w:t> </w:t>
      </w:r>
      <w:r w:rsidRPr="00B07D79">
        <w:rPr>
          <w:rFonts w:asciiTheme="minorHAnsi" w:hAnsiTheme="minorHAnsi"/>
        </w:rPr>
        <w:t>NPO již byla vyčerpána, nyní probíhá financování z</w:t>
      </w:r>
      <w:r w:rsidR="00CF2351" w:rsidRPr="00B07D79">
        <w:rPr>
          <w:rFonts w:asciiTheme="minorHAnsi" w:hAnsiTheme="minorHAnsi"/>
        </w:rPr>
        <w:t> </w:t>
      </w:r>
      <w:r w:rsidRPr="00B07D79">
        <w:rPr>
          <w:rFonts w:asciiTheme="minorHAnsi" w:hAnsiTheme="minorHAnsi"/>
        </w:rPr>
        <w:t xml:space="preserve">Modernizačního fondu) – </w:t>
      </w:r>
      <w:r w:rsidR="00806AC5" w:rsidRPr="00B07D79">
        <w:rPr>
          <w:rFonts w:asciiTheme="minorHAnsi" w:hAnsiTheme="minorHAnsi"/>
        </w:rPr>
        <w:t xml:space="preserve">podoblastí </w:t>
      </w:r>
      <w:r w:rsidRPr="00B07D79">
        <w:rPr>
          <w:rFonts w:asciiTheme="minorHAnsi" w:hAnsiTheme="minorHAnsi"/>
        </w:rPr>
        <w:t>podpory je</w:t>
      </w:r>
      <w:r w:rsidR="003358AA" w:rsidRPr="00B07D79">
        <w:rPr>
          <w:rFonts w:asciiTheme="minorHAnsi" w:hAnsiTheme="minorHAnsi"/>
        </w:rPr>
        <w:t> </w:t>
      </w:r>
      <w:r w:rsidRPr="00B07D79">
        <w:rPr>
          <w:rFonts w:asciiTheme="minorHAnsi" w:hAnsiTheme="minorHAnsi"/>
        </w:rPr>
        <w:t>pořízení a</w:t>
      </w:r>
      <w:r w:rsidR="00CF2351" w:rsidRPr="00B07D79">
        <w:rPr>
          <w:rFonts w:asciiTheme="minorHAnsi" w:hAnsiTheme="minorHAnsi"/>
        </w:rPr>
        <w:t> </w:t>
      </w:r>
      <w:r w:rsidRPr="00B07D79">
        <w:rPr>
          <w:rFonts w:asciiTheme="minorHAnsi" w:hAnsiTheme="minorHAnsi"/>
        </w:rPr>
        <w:t>instalace dobíjecí stanice pro elektromobily pro bytové a</w:t>
      </w:r>
      <w:r w:rsidR="00CF2351" w:rsidRPr="00B07D79">
        <w:rPr>
          <w:rFonts w:asciiTheme="minorHAnsi" w:hAnsiTheme="minorHAnsi"/>
        </w:rPr>
        <w:t> </w:t>
      </w:r>
      <w:r w:rsidRPr="00B07D79">
        <w:rPr>
          <w:rFonts w:asciiTheme="minorHAnsi" w:hAnsiTheme="minorHAnsi"/>
        </w:rPr>
        <w:t xml:space="preserve">rodinné domy. </w:t>
      </w:r>
    </w:p>
    <w:p w14:paraId="6C76A74E" w14:textId="73498E72"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MMR: 27., 28., 39 a</w:t>
      </w:r>
      <w:r w:rsidR="00CF2351" w:rsidRPr="00B07D79">
        <w:rPr>
          <w:rFonts w:asciiTheme="minorHAnsi" w:hAnsiTheme="minorHAnsi"/>
        </w:rPr>
        <w:t> </w:t>
      </w:r>
      <w:r w:rsidRPr="00B07D79">
        <w:rPr>
          <w:rFonts w:asciiTheme="minorHAnsi" w:hAnsiTheme="minorHAnsi"/>
        </w:rPr>
        <w:t>110. výzva IROP – Nízkoemisní a</w:t>
      </w:r>
      <w:r w:rsidR="00CF2351" w:rsidRPr="00B07D79">
        <w:rPr>
          <w:rFonts w:asciiTheme="minorHAnsi" w:hAnsiTheme="minorHAnsi"/>
        </w:rPr>
        <w:t> </w:t>
      </w:r>
      <w:r w:rsidRPr="00B07D79">
        <w:rPr>
          <w:rFonts w:asciiTheme="minorHAnsi" w:hAnsiTheme="minorHAnsi"/>
        </w:rPr>
        <w:t>bezemisní vozidla pro veřejnou dopravu (celková alokace cca 7,3 mld. Kč). Předmětem podpory je nákup elektrobusů, vodíkových autobusů, trolejbusů a</w:t>
      </w:r>
      <w:r w:rsidR="00CF2351" w:rsidRPr="00B07D79">
        <w:rPr>
          <w:rFonts w:asciiTheme="minorHAnsi" w:hAnsiTheme="minorHAnsi"/>
        </w:rPr>
        <w:t> </w:t>
      </w:r>
      <w:r w:rsidRPr="00B07D79">
        <w:rPr>
          <w:rFonts w:asciiTheme="minorHAnsi" w:hAnsiTheme="minorHAnsi"/>
        </w:rPr>
        <w:t>tramvají nebo vozidel na bioplyn pro veřejnou dopravu. Příjemcem jsou kraje, obce a</w:t>
      </w:r>
      <w:r w:rsidR="00CF2351" w:rsidRPr="00B07D79">
        <w:rPr>
          <w:rFonts w:asciiTheme="minorHAnsi" w:hAnsiTheme="minorHAnsi"/>
        </w:rPr>
        <w:t> </w:t>
      </w:r>
      <w:r w:rsidRPr="00B07D79">
        <w:rPr>
          <w:rFonts w:asciiTheme="minorHAnsi" w:hAnsiTheme="minorHAnsi"/>
        </w:rPr>
        <w:t>dopravci poskytující služby veřejné dopravy</w:t>
      </w:r>
    </w:p>
    <w:p w14:paraId="1EFD510D" w14:textId="46FB45F9"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 xml:space="preserve">MMR: </w:t>
      </w:r>
      <w:r w:rsidR="000E7138" w:rsidRPr="00B07D79">
        <w:rPr>
          <w:rFonts w:asciiTheme="minorHAnsi" w:hAnsiTheme="minorHAnsi"/>
        </w:rPr>
        <w:t>106., 107. a</w:t>
      </w:r>
      <w:r w:rsidR="00CF2351" w:rsidRPr="00B07D79">
        <w:rPr>
          <w:rFonts w:asciiTheme="minorHAnsi" w:hAnsiTheme="minorHAnsi"/>
        </w:rPr>
        <w:t> </w:t>
      </w:r>
      <w:r w:rsidRPr="00B07D79">
        <w:rPr>
          <w:rFonts w:asciiTheme="minorHAnsi" w:hAnsiTheme="minorHAnsi"/>
        </w:rPr>
        <w:t>108. výzva IROP – Na podporu výstavby dobíjecích stanic nebo vodíkových plnicích stanic pro silniční a</w:t>
      </w:r>
      <w:r w:rsidR="00CF2351" w:rsidRPr="00B07D79">
        <w:rPr>
          <w:rFonts w:asciiTheme="minorHAnsi" w:hAnsiTheme="minorHAnsi"/>
        </w:rPr>
        <w:t> </w:t>
      </w:r>
      <w:r w:rsidRPr="00B07D79">
        <w:rPr>
          <w:rFonts w:asciiTheme="minorHAnsi" w:hAnsiTheme="minorHAnsi"/>
        </w:rPr>
        <w:t>drážní (tramvaje a</w:t>
      </w:r>
      <w:r w:rsidR="00CF2351" w:rsidRPr="00B07D79">
        <w:rPr>
          <w:rFonts w:asciiTheme="minorHAnsi" w:hAnsiTheme="minorHAnsi"/>
        </w:rPr>
        <w:t> </w:t>
      </w:r>
      <w:r w:rsidRPr="00B07D79">
        <w:rPr>
          <w:rFonts w:asciiTheme="minorHAnsi" w:hAnsiTheme="minorHAnsi"/>
        </w:rPr>
        <w:t>trolejbusy) bezemisní vozidla poskytující veřejné služby v</w:t>
      </w:r>
      <w:r w:rsidR="00CF2351" w:rsidRPr="00B07D79">
        <w:rPr>
          <w:rFonts w:asciiTheme="minorHAnsi" w:hAnsiTheme="minorHAnsi"/>
        </w:rPr>
        <w:t> </w:t>
      </w:r>
      <w:r w:rsidRPr="00B07D79">
        <w:rPr>
          <w:rFonts w:asciiTheme="minorHAnsi" w:hAnsiTheme="minorHAnsi"/>
        </w:rPr>
        <w:t>přepravě cestujících (alokace 0,222 mld. Kč).</w:t>
      </w:r>
    </w:p>
    <w:p w14:paraId="771B20FB" w14:textId="10075AC3"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MPO: výzva z</w:t>
      </w:r>
      <w:r w:rsidR="00CF2351" w:rsidRPr="00B07D79">
        <w:rPr>
          <w:rFonts w:asciiTheme="minorHAnsi" w:hAnsiTheme="minorHAnsi"/>
        </w:rPr>
        <w:t> </w:t>
      </w:r>
      <w:r w:rsidRPr="00B07D79">
        <w:rPr>
          <w:rFonts w:asciiTheme="minorHAnsi" w:hAnsiTheme="minorHAnsi"/>
        </w:rPr>
        <w:t>Národního programu obnovy pro podnikatele (program podpory nákupu vozidel (BEV, FCEV), neveřejných dobíjecích stanic) s</w:t>
      </w:r>
      <w:r w:rsidR="00CF2351" w:rsidRPr="00B07D79">
        <w:rPr>
          <w:rFonts w:asciiTheme="minorHAnsi" w:hAnsiTheme="minorHAnsi"/>
        </w:rPr>
        <w:t> </w:t>
      </w:r>
      <w:r w:rsidRPr="00B07D79">
        <w:rPr>
          <w:rFonts w:asciiTheme="minorHAnsi" w:hAnsiTheme="minorHAnsi"/>
        </w:rPr>
        <w:t>alokací cca 2 mld. Kč.</w:t>
      </w:r>
    </w:p>
    <w:p w14:paraId="66CD4567" w14:textId="7CA303AE"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MPSV: Výzva Národního plánu obnovy (podpora nákupu nízkoemisních vozidel pro</w:t>
      </w:r>
      <w:r w:rsidR="003358AA" w:rsidRPr="00B07D79">
        <w:rPr>
          <w:rFonts w:asciiTheme="minorHAnsi" w:hAnsiTheme="minorHAnsi"/>
        </w:rPr>
        <w:t> </w:t>
      </w:r>
      <w:r w:rsidRPr="00B07D79">
        <w:rPr>
          <w:rFonts w:asciiTheme="minorHAnsi" w:hAnsiTheme="minorHAnsi"/>
        </w:rPr>
        <w:t>sociální služby) alokace 0,228 mld. Kč</w:t>
      </w:r>
    </w:p>
    <w:p w14:paraId="6BEC62F2" w14:textId="5ABEBBAB"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MD: Výzva č. 12 OPD3 – podpora rozvoje infrastruktury běžných dobíjecích stanic ve městech a</w:t>
      </w:r>
      <w:r w:rsidR="00CF2351" w:rsidRPr="00B07D79">
        <w:rPr>
          <w:rFonts w:asciiTheme="minorHAnsi" w:hAnsiTheme="minorHAnsi"/>
        </w:rPr>
        <w:t> </w:t>
      </w:r>
      <w:r w:rsidRPr="00B07D79">
        <w:rPr>
          <w:rFonts w:asciiTheme="minorHAnsi" w:hAnsiTheme="minorHAnsi"/>
        </w:rPr>
        <w:t>obcích (alokace 0,7 mld. Kč)</w:t>
      </w:r>
    </w:p>
    <w:p w14:paraId="669CD8A5" w14:textId="3B412A08"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 xml:space="preserve">MD: výzva </w:t>
      </w:r>
      <w:r w:rsidR="00B73FD9" w:rsidRPr="00B07D79">
        <w:rPr>
          <w:rFonts w:asciiTheme="minorHAnsi" w:hAnsiTheme="minorHAnsi"/>
        </w:rPr>
        <w:t xml:space="preserve">č. </w:t>
      </w:r>
      <w:r w:rsidRPr="00B07D79">
        <w:rPr>
          <w:rFonts w:asciiTheme="minorHAnsi" w:hAnsiTheme="minorHAnsi"/>
        </w:rPr>
        <w:t>13 výzva podpora rozvoje rychlodobíjecí infrastruktury pro osobní vozidla (alokace 0,5 mld. Kč)</w:t>
      </w:r>
    </w:p>
    <w:p w14:paraId="3867423D" w14:textId="49DA2D67" w:rsidR="000E7138" w:rsidRPr="00B07D79" w:rsidRDefault="000E7138" w:rsidP="00B07D79">
      <w:pPr>
        <w:pStyle w:val="Bullet1"/>
        <w:spacing w:line="276" w:lineRule="auto"/>
        <w:jc w:val="both"/>
        <w:rPr>
          <w:rFonts w:asciiTheme="minorHAnsi" w:hAnsiTheme="minorHAnsi"/>
        </w:rPr>
      </w:pPr>
      <w:r w:rsidRPr="00B07D79">
        <w:rPr>
          <w:rFonts w:asciiTheme="minorHAnsi" w:hAnsiTheme="minorHAnsi"/>
        </w:rPr>
        <w:t xml:space="preserve">MD: výzva č. 16 - Infrastruktura pro alternativní </w:t>
      </w:r>
      <w:r w:rsidR="00BF0350" w:rsidRPr="00B07D79">
        <w:rPr>
          <w:rFonts w:asciiTheme="minorHAnsi" w:hAnsiTheme="minorHAnsi"/>
        </w:rPr>
        <w:t>paliva – podpora</w:t>
      </w:r>
      <w:r w:rsidRPr="00B07D79">
        <w:rPr>
          <w:rFonts w:asciiTheme="minorHAnsi" w:hAnsiTheme="minorHAnsi"/>
        </w:rPr>
        <w:t xml:space="preserve"> rozvoje vodíkových plnicích stanic podél hlavní sítě TEN-T (alokace 0,4 mld. Kč) </w:t>
      </w:r>
    </w:p>
    <w:p w14:paraId="2A30202A" w14:textId="77777777" w:rsidR="00280986" w:rsidRPr="00B07D79" w:rsidRDefault="00280986" w:rsidP="00B07D79">
      <w:pPr>
        <w:spacing w:line="276" w:lineRule="auto"/>
        <w:jc w:val="both"/>
        <w:rPr>
          <w:rFonts w:asciiTheme="minorHAnsi" w:hAnsiTheme="minorHAnsi"/>
        </w:rPr>
      </w:pPr>
      <w:r w:rsidRPr="00B07D79">
        <w:rPr>
          <w:rFonts w:asciiTheme="minorHAnsi" w:hAnsiTheme="minorHAnsi"/>
        </w:rPr>
        <w:t>V průběhu roku 2024 by měly být vyhlášeny tyto výzvy:</w:t>
      </w:r>
    </w:p>
    <w:p w14:paraId="134EA628" w14:textId="1FB79C29"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MD: výzv</w:t>
      </w:r>
      <w:r w:rsidR="000E7138" w:rsidRPr="00B07D79">
        <w:rPr>
          <w:rFonts w:asciiTheme="minorHAnsi" w:hAnsiTheme="minorHAnsi"/>
        </w:rPr>
        <w:t>y</w:t>
      </w:r>
      <w:r w:rsidRPr="00B07D79">
        <w:rPr>
          <w:rFonts w:asciiTheme="minorHAnsi" w:hAnsiTheme="minorHAnsi"/>
        </w:rPr>
        <w:t xml:space="preserve"> z</w:t>
      </w:r>
      <w:r w:rsidR="00CF2351" w:rsidRPr="00B07D79">
        <w:rPr>
          <w:rFonts w:asciiTheme="minorHAnsi" w:hAnsiTheme="minorHAnsi"/>
        </w:rPr>
        <w:t> </w:t>
      </w:r>
      <w:r w:rsidRPr="00B07D79">
        <w:rPr>
          <w:rFonts w:asciiTheme="minorHAnsi" w:hAnsiTheme="minorHAnsi"/>
        </w:rPr>
        <w:t>O</w:t>
      </w:r>
      <w:r w:rsidR="000E7138" w:rsidRPr="00B07D79">
        <w:rPr>
          <w:rFonts w:asciiTheme="minorHAnsi" w:hAnsiTheme="minorHAnsi"/>
        </w:rPr>
        <w:t>PD</w:t>
      </w:r>
      <w:r w:rsidRPr="00B07D79">
        <w:rPr>
          <w:rFonts w:asciiTheme="minorHAnsi" w:hAnsiTheme="minorHAnsi"/>
        </w:rPr>
        <w:t xml:space="preserve"> (dotační program na výstavbu veřejných dobíjecích a</w:t>
      </w:r>
      <w:r w:rsidR="00CF2351" w:rsidRPr="00B07D79">
        <w:rPr>
          <w:rFonts w:asciiTheme="minorHAnsi" w:hAnsiTheme="minorHAnsi"/>
        </w:rPr>
        <w:t> </w:t>
      </w:r>
      <w:r w:rsidRPr="00B07D79">
        <w:rPr>
          <w:rFonts w:asciiTheme="minorHAnsi" w:hAnsiTheme="minorHAnsi"/>
        </w:rPr>
        <w:t>plnicích H</w:t>
      </w:r>
      <w:r w:rsidRPr="00B07D79">
        <w:rPr>
          <w:rFonts w:asciiTheme="minorHAnsi" w:hAnsiTheme="minorHAnsi"/>
          <w:vertAlign w:val="subscript"/>
        </w:rPr>
        <w:t xml:space="preserve">2 </w:t>
      </w:r>
      <w:r w:rsidRPr="00B07D79">
        <w:rPr>
          <w:rFonts w:asciiTheme="minorHAnsi" w:hAnsiTheme="minorHAnsi"/>
        </w:rPr>
        <w:t>stanic s</w:t>
      </w:r>
      <w:r w:rsidR="00CF2351" w:rsidRPr="00B07D79">
        <w:rPr>
          <w:rFonts w:asciiTheme="minorHAnsi" w:hAnsiTheme="minorHAnsi"/>
        </w:rPr>
        <w:t> </w:t>
      </w:r>
      <w:r w:rsidRPr="00B07D79">
        <w:rPr>
          <w:rFonts w:asciiTheme="minorHAnsi" w:hAnsiTheme="minorHAnsi"/>
        </w:rPr>
        <w:t xml:space="preserve">alokací </w:t>
      </w:r>
      <w:r w:rsidR="000E7138" w:rsidRPr="00B07D79">
        <w:rPr>
          <w:rFonts w:asciiTheme="minorHAnsi" w:hAnsiTheme="minorHAnsi"/>
        </w:rPr>
        <w:t>4,6</w:t>
      </w:r>
      <w:r w:rsidRPr="00B07D79">
        <w:rPr>
          <w:rFonts w:asciiTheme="minorHAnsi" w:hAnsiTheme="minorHAnsi"/>
        </w:rPr>
        <w:t xml:space="preserve"> mld. Kč)</w:t>
      </w:r>
    </w:p>
    <w:p w14:paraId="4B48F72A" w14:textId="595B6377" w:rsidR="00280986" w:rsidRPr="00B07D79" w:rsidRDefault="00280986" w:rsidP="00B07D79">
      <w:pPr>
        <w:pStyle w:val="Bullet1"/>
        <w:spacing w:line="276" w:lineRule="auto"/>
        <w:jc w:val="both"/>
        <w:rPr>
          <w:rFonts w:asciiTheme="minorHAnsi" w:hAnsiTheme="minorHAnsi"/>
        </w:rPr>
      </w:pPr>
      <w:r w:rsidRPr="00B07D79">
        <w:rPr>
          <w:rFonts w:asciiTheme="minorHAnsi" w:hAnsiTheme="minorHAnsi"/>
        </w:rPr>
        <w:t>MPO: výzva z</w:t>
      </w:r>
      <w:r w:rsidR="00CF2351" w:rsidRPr="00B07D79">
        <w:rPr>
          <w:rFonts w:asciiTheme="minorHAnsi" w:hAnsiTheme="minorHAnsi"/>
        </w:rPr>
        <w:t> </w:t>
      </w:r>
      <w:r w:rsidRPr="00B07D79">
        <w:rPr>
          <w:rFonts w:asciiTheme="minorHAnsi" w:hAnsiTheme="minorHAnsi"/>
        </w:rPr>
        <w:t>Národního programu obnovy pro podnikatele (program podpory nákupu e-cargokol s</w:t>
      </w:r>
      <w:r w:rsidR="00CF2351" w:rsidRPr="00B07D79">
        <w:rPr>
          <w:rFonts w:asciiTheme="minorHAnsi" w:hAnsiTheme="minorHAnsi"/>
        </w:rPr>
        <w:t> </w:t>
      </w:r>
      <w:r w:rsidRPr="00B07D79">
        <w:rPr>
          <w:rFonts w:asciiTheme="minorHAnsi" w:hAnsiTheme="minorHAnsi"/>
        </w:rPr>
        <w:t xml:space="preserve">alokací </w:t>
      </w:r>
      <w:r w:rsidR="001D1529" w:rsidRPr="00B07D79">
        <w:rPr>
          <w:rFonts w:asciiTheme="minorHAnsi" w:hAnsiTheme="minorHAnsi"/>
        </w:rPr>
        <w:t>50</w:t>
      </w:r>
      <w:r w:rsidRPr="00B07D79">
        <w:rPr>
          <w:rFonts w:asciiTheme="minorHAnsi" w:hAnsiTheme="minorHAnsi"/>
        </w:rPr>
        <w:t xml:space="preserve"> m</w:t>
      </w:r>
      <w:r w:rsidR="001D1529" w:rsidRPr="00B07D79">
        <w:rPr>
          <w:rFonts w:asciiTheme="minorHAnsi" w:hAnsiTheme="minorHAnsi"/>
        </w:rPr>
        <w:t>i</w:t>
      </w:r>
      <w:r w:rsidRPr="00B07D79">
        <w:rPr>
          <w:rFonts w:asciiTheme="minorHAnsi" w:hAnsiTheme="minorHAnsi"/>
        </w:rPr>
        <w:t>l. Kč</w:t>
      </w:r>
      <w:r w:rsidR="000E7138" w:rsidRPr="00B07D79">
        <w:rPr>
          <w:rFonts w:asciiTheme="minorHAnsi" w:hAnsiTheme="minorHAnsi"/>
        </w:rPr>
        <w:t>)</w:t>
      </w:r>
      <w:r w:rsidRPr="00B07D79">
        <w:rPr>
          <w:rFonts w:asciiTheme="minorHAnsi" w:hAnsiTheme="minorHAnsi"/>
        </w:rPr>
        <w:t>.</w:t>
      </w:r>
    </w:p>
    <w:p w14:paraId="0ECD0D77" w14:textId="32FB7122" w:rsidR="00BF0350" w:rsidRPr="00B07D79" w:rsidRDefault="00806AC5" w:rsidP="00B07D79">
      <w:pPr>
        <w:spacing w:line="276" w:lineRule="auto"/>
        <w:jc w:val="both"/>
        <w:rPr>
          <w:rFonts w:asciiTheme="minorHAnsi" w:hAnsiTheme="minorHAnsi"/>
        </w:rPr>
      </w:pPr>
      <w:r w:rsidRPr="00B07D79">
        <w:rPr>
          <w:rFonts w:asciiTheme="minorHAnsi" w:hAnsiTheme="minorHAnsi"/>
        </w:rPr>
        <w:t>První v</w:t>
      </w:r>
      <w:r w:rsidR="008D3A19" w:rsidRPr="00B07D79">
        <w:rPr>
          <w:rFonts w:asciiTheme="minorHAnsi" w:hAnsiTheme="minorHAnsi"/>
        </w:rPr>
        <w:t>ýzvy</w:t>
      </w:r>
      <w:r w:rsidR="00280986" w:rsidRPr="00B07D79">
        <w:rPr>
          <w:rFonts w:asciiTheme="minorHAnsi" w:hAnsiTheme="minorHAnsi"/>
        </w:rPr>
        <w:t xml:space="preserve"> z</w:t>
      </w:r>
      <w:r w:rsidR="00CF2351" w:rsidRPr="00B07D79">
        <w:rPr>
          <w:rFonts w:asciiTheme="minorHAnsi" w:hAnsiTheme="minorHAnsi"/>
        </w:rPr>
        <w:t> </w:t>
      </w:r>
      <w:r w:rsidRPr="00B07D79">
        <w:rPr>
          <w:rFonts w:asciiTheme="minorHAnsi" w:hAnsiTheme="minorHAnsi"/>
        </w:rPr>
        <w:t xml:space="preserve">podprogramu </w:t>
      </w:r>
      <w:proofErr w:type="spellStart"/>
      <w:r w:rsidRPr="00B07D79">
        <w:rPr>
          <w:rFonts w:asciiTheme="minorHAnsi" w:hAnsiTheme="minorHAnsi"/>
        </w:rPr>
        <w:t>TRANSGov</w:t>
      </w:r>
      <w:proofErr w:type="spellEnd"/>
      <w:r w:rsidRPr="00B07D79">
        <w:rPr>
          <w:rFonts w:asciiTheme="minorHAnsi" w:hAnsiTheme="minorHAnsi"/>
        </w:rPr>
        <w:t xml:space="preserve"> (veřejná doprava a</w:t>
      </w:r>
      <w:r w:rsidR="00CF2351" w:rsidRPr="00B07D79">
        <w:rPr>
          <w:rFonts w:asciiTheme="minorHAnsi" w:hAnsiTheme="minorHAnsi"/>
        </w:rPr>
        <w:t> </w:t>
      </w:r>
      <w:r w:rsidRPr="00B07D79">
        <w:rPr>
          <w:rFonts w:asciiTheme="minorHAnsi" w:hAnsiTheme="minorHAnsi"/>
        </w:rPr>
        <w:t xml:space="preserve">doprava ve veřejném sektoru) </w:t>
      </w:r>
      <w:r w:rsidR="00280986" w:rsidRPr="00B07D79">
        <w:rPr>
          <w:rFonts w:asciiTheme="minorHAnsi" w:hAnsiTheme="minorHAnsi"/>
        </w:rPr>
        <w:t>Modernizačního fondu</w:t>
      </w:r>
      <w:r w:rsidRPr="00B07D79">
        <w:rPr>
          <w:rFonts w:asciiTheme="minorHAnsi" w:hAnsiTheme="minorHAnsi"/>
        </w:rPr>
        <w:t>, od roku 2025 také výzvy z</w:t>
      </w:r>
      <w:r w:rsidR="00CF2351" w:rsidRPr="00B07D79">
        <w:rPr>
          <w:rFonts w:asciiTheme="minorHAnsi" w:hAnsiTheme="minorHAnsi"/>
        </w:rPr>
        <w:t> </w:t>
      </w:r>
      <w:r w:rsidRPr="00B07D79">
        <w:rPr>
          <w:rFonts w:asciiTheme="minorHAnsi" w:hAnsiTheme="minorHAnsi"/>
        </w:rPr>
        <w:t xml:space="preserve">podprogramu </w:t>
      </w:r>
      <w:proofErr w:type="spellStart"/>
      <w:r w:rsidRPr="00B07D79">
        <w:rPr>
          <w:rFonts w:asciiTheme="minorHAnsi" w:hAnsiTheme="minorHAnsi"/>
        </w:rPr>
        <w:t>TRANSCom</w:t>
      </w:r>
      <w:proofErr w:type="spellEnd"/>
      <w:r w:rsidRPr="00B07D79">
        <w:rPr>
          <w:rFonts w:asciiTheme="minorHAnsi" w:hAnsiTheme="minorHAnsi"/>
        </w:rPr>
        <w:t xml:space="preserve"> (doprava v</w:t>
      </w:r>
      <w:r w:rsidR="00CF2351" w:rsidRPr="00B07D79">
        <w:rPr>
          <w:rFonts w:asciiTheme="minorHAnsi" w:hAnsiTheme="minorHAnsi"/>
        </w:rPr>
        <w:t> </w:t>
      </w:r>
      <w:r w:rsidRPr="00B07D79">
        <w:rPr>
          <w:rFonts w:asciiTheme="minorHAnsi" w:hAnsiTheme="minorHAnsi"/>
        </w:rPr>
        <w:t>podnikání)</w:t>
      </w:r>
      <w:r w:rsidR="00280986" w:rsidRPr="00B07D79">
        <w:rPr>
          <w:rFonts w:asciiTheme="minorHAnsi" w:hAnsiTheme="minorHAnsi"/>
        </w:rPr>
        <w:t>.</w:t>
      </w:r>
    </w:p>
    <w:p w14:paraId="2FE8E647" w14:textId="578FF243" w:rsidR="00280986" w:rsidRPr="00B07D79" w:rsidRDefault="00280986" w:rsidP="00B07D79">
      <w:pPr>
        <w:spacing w:line="276" w:lineRule="auto"/>
        <w:jc w:val="both"/>
        <w:rPr>
          <w:rFonts w:asciiTheme="minorHAnsi" w:hAnsiTheme="minorHAnsi"/>
        </w:rPr>
      </w:pPr>
    </w:p>
    <w:p w14:paraId="4117DC95" w14:textId="3D440DC1" w:rsidR="00BF0350" w:rsidRPr="009D0E24" w:rsidRDefault="00BF0350" w:rsidP="000E5B59">
      <w:pPr>
        <w:pStyle w:val="Nadpis2"/>
        <w:rPr>
          <w:sz w:val="32"/>
          <w:szCs w:val="36"/>
        </w:rPr>
      </w:pPr>
      <w:bookmarkStart w:id="206" w:name="_Toc173240064"/>
      <w:bookmarkStart w:id="207" w:name="_Toc159332164"/>
      <w:bookmarkStart w:id="208" w:name="_Toc159336645"/>
      <w:bookmarkStart w:id="209" w:name="_Toc160021748"/>
      <w:bookmarkStart w:id="210" w:name="_Toc162447438"/>
      <w:bookmarkStart w:id="211" w:name="_Toc152329810"/>
      <w:bookmarkStart w:id="212" w:name="_Toc159264316"/>
      <w:bookmarkStart w:id="213" w:name="_Toc153208221"/>
      <w:r w:rsidRPr="009D0E24">
        <w:rPr>
          <w:sz w:val="32"/>
          <w:szCs w:val="36"/>
        </w:rPr>
        <w:lastRenderedPageBreak/>
        <w:t>Širší energetické aspekty</w:t>
      </w:r>
      <w:bookmarkEnd w:id="206"/>
      <w:r w:rsidRPr="009D0E24">
        <w:rPr>
          <w:sz w:val="32"/>
          <w:szCs w:val="36"/>
        </w:rPr>
        <w:t xml:space="preserve"> </w:t>
      </w:r>
    </w:p>
    <w:p w14:paraId="4B761DF0" w14:textId="216F1E89" w:rsidR="00BF0350" w:rsidRPr="00B07D79" w:rsidRDefault="00BF0350" w:rsidP="00B07D79">
      <w:pPr>
        <w:spacing w:line="276" w:lineRule="auto"/>
        <w:jc w:val="both"/>
        <w:rPr>
          <w:rFonts w:asciiTheme="minorHAnsi" w:hAnsiTheme="minorHAnsi" w:cs="Arial"/>
          <w:iCs/>
        </w:rPr>
      </w:pPr>
      <w:r w:rsidRPr="00B07D79">
        <w:rPr>
          <w:rFonts w:asciiTheme="minorHAnsi" w:hAnsiTheme="minorHAnsi" w:cs="Arial"/>
        </w:rPr>
        <w:t>V roce 2019</w:t>
      </w:r>
      <w:r w:rsidRPr="00B07D79">
        <w:rPr>
          <w:rStyle w:val="Znakapoznpodarou"/>
          <w:rFonts w:asciiTheme="minorHAnsi" w:hAnsiTheme="minorHAnsi" w:cs="Arial"/>
        </w:rPr>
        <w:footnoteReference w:id="7"/>
      </w:r>
      <w:r w:rsidRPr="00B07D79">
        <w:rPr>
          <w:rFonts w:asciiTheme="minorHAnsi" w:hAnsiTheme="minorHAnsi" w:cs="Arial"/>
        </w:rPr>
        <w:t xml:space="preserve"> činila konečná spotřeba energie pro dopravu v</w:t>
      </w:r>
      <w:r w:rsidR="00CF2351" w:rsidRPr="00B07D79">
        <w:rPr>
          <w:rFonts w:asciiTheme="minorHAnsi" w:hAnsiTheme="minorHAnsi" w:cs="Arial"/>
        </w:rPr>
        <w:t> </w:t>
      </w:r>
      <w:r w:rsidRPr="00B07D79">
        <w:rPr>
          <w:rFonts w:asciiTheme="minorHAnsi" w:hAnsiTheme="minorHAnsi" w:cs="Arial"/>
        </w:rPr>
        <w:t>ČR 79 TWh/rok, čímž se doprava podílela 28 % na konečné spotřebě energie v</w:t>
      </w:r>
      <w:r w:rsidR="00CF2351" w:rsidRPr="00B07D79">
        <w:rPr>
          <w:rFonts w:asciiTheme="minorHAnsi" w:hAnsiTheme="minorHAnsi" w:cs="Arial"/>
        </w:rPr>
        <w:t> </w:t>
      </w:r>
      <w:r w:rsidRPr="00B07D79">
        <w:rPr>
          <w:rFonts w:asciiTheme="minorHAnsi" w:hAnsiTheme="minorHAnsi" w:cs="Arial"/>
        </w:rPr>
        <w:t>ČR, kdy se průmysl podílel na spotřebě energie 78 TWh/rok, což je 27 %). Z</w:t>
      </w:r>
      <w:r w:rsidR="00CF2351" w:rsidRPr="00B07D79">
        <w:rPr>
          <w:rFonts w:asciiTheme="minorHAnsi" w:hAnsiTheme="minorHAnsi" w:cs="Arial"/>
        </w:rPr>
        <w:t> </w:t>
      </w:r>
      <w:r w:rsidRPr="00B07D79">
        <w:rPr>
          <w:rFonts w:asciiTheme="minorHAnsi" w:hAnsiTheme="minorHAnsi" w:cs="Arial"/>
        </w:rPr>
        <w:t xml:space="preserve">uvedeného vyplývá, že </w:t>
      </w:r>
      <w:r w:rsidRPr="00B07D79">
        <w:rPr>
          <w:rFonts w:asciiTheme="minorHAnsi" w:hAnsiTheme="minorHAnsi" w:cs="Arial"/>
          <w:iCs/>
        </w:rPr>
        <w:t>doprava patří spolu s</w:t>
      </w:r>
      <w:r w:rsidR="00CF2351" w:rsidRPr="00B07D79">
        <w:rPr>
          <w:rFonts w:asciiTheme="minorHAnsi" w:hAnsiTheme="minorHAnsi" w:cs="Arial"/>
          <w:iCs/>
        </w:rPr>
        <w:t> </w:t>
      </w:r>
      <w:r w:rsidRPr="00B07D79">
        <w:rPr>
          <w:rFonts w:asciiTheme="minorHAnsi" w:hAnsiTheme="minorHAnsi" w:cs="Arial"/>
          <w:iCs/>
        </w:rPr>
        <w:t>domácnostmi a</w:t>
      </w:r>
      <w:r w:rsidR="00CF2351" w:rsidRPr="00B07D79">
        <w:rPr>
          <w:rFonts w:asciiTheme="minorHAnsi" w:hAnsiTheme="minorHAnsi" w:cs="Arial"/>
          <w:iCs/>
        </w:rPr>
        <w:t> </w:t>
      </w:r>
      <w:r w:rsidRPr="00B07D79">
        <w:rPr>
          <w:rFonts w:asciiTheme="minorHAnsi" w:hAnsiTheme="minorHAnsi" w:cs="Arial"/>
          <w:iCs/>
        </w:rPr>
        <w:t>průmyslem ke třem největším konečným spotřebitelům energie v</w:t>
      </w:r>
      <w:r w:rsidR="00CF2351" w:rsidRPr="00B07D79">
        <w:rPr>
          <w:rFonts w:asciiTheme="minorHAnsi" w:hAnsiTheme="minorHAnsi" w:cs="Arial"/>
          <w:iCs/>
        </w:rPr>
        <w:t> </w:t>
      </w:r>
      <w:r w:rsidRPr="00B07D79">
        <w:rPr>
          <w:rFonts w:asciiTheme="minorHAnsi" w:hAnsiTheme="minorHAnsi" w:cs="Arial"/>
          <w:iCs/>
        </w:rPr>
        <w:t>ČR, tudíž je více než vhodné změnit přístup ke spotřebě energie v</w:t>
      </w:r>
      <w:r w:rsidR="00CF2351" w:rsidRPr="00B07D79">
        <w:rPr>
          <w:rFonts w:asciiTheme="minorHAnsi" w:hAnsiTheme="minorHAnsi" w:cs="Arial"/>
          <w:iCs/>
        </w:rPr>
        <w:t> </w:t>
      </w:r>
      <w:r w:rsidRPr="00B07D79">
        <w:rPr>
          <w:rFonts w:asciiTheme="minorHAnsi" w:hAnsiTheme="minorHAnsi" w:cs="Arial"/>
          <w:iCs/>
        </w:rPr>
        <w:t>dopravě a</w:t>
      </w:r>
      <w:r w:rsidR="00CF2351" w:rsidRPr="00B07D79">
        <w:rPr>
          <w:rFonts w:asciiTheme="minorHAnsi" w:hAnsiTheme="minorHAnsi" w:cs="Arial"/>
          <w:iCs/>
        </w:rPr>
        <w:t> </w:t>
      </w:r>
      <w:r w:rsidRPr="00B07D79">
        <w:rPr>
          <w:rFonts w:asciiTheme="minorHAnsi" w:hAnsiTheme="minorHAnsi" w:cs="Arial"/>
          <w:iCs/>
        </w:rPr>
        <w:t>také k</w:t>
      </w:r>
      <w:r w:rsidR="00CF2351" w:rsidRPr="00B07D79">
        <w:rPr>
          <w:rFonts w:asciiTheme="minorHAnsi" w:hAnsiTheme="minorHAnsi" w:cs="Arial"/>
          <w:iCs/>
        </w:rPr>
        <w:t> </w:t>
      </w:r>
      <w:r w:rsidRPr="00B07D79">
        <w:rPr>
          <w:rFonts w:asciiTheme="minorHAnsi" w:hAnsiTheme="minorHAnsi" w:cs="Arial"/>
          <w:iCs/>
        </w:rPr>
        <w:t>jejím cenovým regulacím.</w:t>
      </w:r>
    </w:p>
    <w:p w14:paraId="0D6769EA" w14:textId="72B23232" w:rsidR="00BF0350" w:rsidRPr="00B07D79" w:rsidRDefault="00BF0350" w:rsidP="00B07D79">
      <w:pPr>
        <w:spacing w:line="276" w:lineRule="auto"/>
        <w:jc w:val="both"/>
        <w:rPr>
          <w:rFonts w:asciiTheme="minorHAnsi" w:hAnsiTheme="minorHAnsi" w:cs="Arial"/>
        </w:rPr>
      </w:pPr>
      <w:r w:rsidRPr="00B07D79">
        <w:rPr>
          <w:rFonts w:asciiTheme="minorHAnsi" w:hAnsiTheme="minorHAnsi" w:cs="Arial"/>
        </w:rPr>
        <w:t>Ve srovnání s</w:t>
      </w:r>
      <w:r w:rsidR="00CF2351" w:rsidRPr="00B07D79">
        <w:rPr>
          <w:rFonts w:asciiTheme="minorHAnsi" w:hAnsiTheme="minorHAnsi" w:cs="Arial"/>
        </w:rPr>
        <w:t> </w:t>
      </w:r>
      <w:r w:rsidRPr="00B07D79">
        <w:rPr>
          <w:rFonts w:asciiTheme="minorHAnsi" w:hAnsiTheme="minorHAnsi" w:cs="Arial"/>
        </w:rPr>
        <w:t>průmyslem dokládají statistiky MPO další dva negativní rysy dopravy v</w:t>
      </w:r>
      <w:r w:rsidR="00CF2351" w:rsidRPr="00B07D79">
        <w:rPr>
          <w:rFonts w:asciiTheme="minorHAnsi" w:hAnsiTheme="minorHAnsi" w:cs="Arial"/>
        </w:rPr>
        <w:t> </w:t>
      </w:r>
      <w:r w:rsidRPr="00B07D79">
        <w:rPr>
          <w:rFonts w:asciiTheme="minorHAnsi" w:hAnsiTheme="minorHAnsi" w:cs="Arial"/>
        </w:rPr>
        <w:t>ČR:</w:t>
      </w:r>
    </w:p>
    <w:p w14:paraId="5356F4CC" w14:textId="300138F0" w:rsidR="00BF0350" w:rsidRPr="00B07D79" w:rsidRDefault="00BF0350" w:rsidP="00B07D79">
      <w:pPr>
        <w:pStyle w:val="Bullet1"/>
        <w:spacing w:line="276" w:lineRule="auto"/>
        <w:jc w:val="both"/>
        <w:rPr>
          <w:rFonts w:asciiTheme="minorHAnsi" w:hAnsiTheme="minorHAnsi"/>
          <w:iCs/>
        </w:rPr>
      </w:pPr>
      <w:r w:rsidRPr="00B07D79">
        <w:rPr>
          <w:rFonts w:asciiTheme="minorHAnsi" w:hAnsiTheme="minorHAnsi"/>
        </w:rPr>
        <w:t>doprava má extrémně vysokou spotřebu fosilních paliv, ta dosahuje (v úrovni roku 2019) 73 TWh/rok, tedy 93 % z</w:t>
      </w:r>
      <w:r w:rsidR="00CF2351" w:rsidRPr="00B07D79">
        <w:rPr>
          <w:rFonts w:asciiTheme="minorHAnsi" w:hAnsiTheme="minorHAnsi"/>
        </w:rPr>
        <w:t> </w:t>
      </w:r>
      <w:r w:rsidRPr="00B07D79">
        <w:rPr>
          <w:rFonts w:asciiTheme="minorHAnsi" w:hAnsiTheme="minorHAnsi"/>
        </w:rPr>
        <w:t>konečné spotřeby energie v</w:t>
      </w:r>
      <w:r w:rsidR="00CF2351" w:rsidRPr="00B07D79">
        <w:rPr>
          <w:rFonts w:asciiTheme="minorHAnsi" w:hAnsiTheme="minorHAnsi"/>
        </w:rPr>
        <w:t> </w:t>
      </w:r>
      <w:r w:rsidRPr="00B07D79">
        <w:rPr>
          <w:rFonts w:asciiTheme="minorHAnsi" w:hAnsiTheme="minorHAnsi"/>
        </w:rPr>
        <w:t>dopravě a</w:t>
      </w:r>
      <w:r w:rsidR="00CF2351" w:rsidRPr="00B07D79">
        <w:rPr>
          <w:rFonts w:asciiTheme="minorHAnsi" w:hAnsiTheme="minorHAnsi"/>
        </w:rPr>
        <w:t> </w:t>
      </w:r>
      <w:r w:rsidRPr="00B07D79">
        <w:rPr>
          <w:rFonts w:asciiTheme="minorHAnsi" w:hAnsiTheme="minorHAnsi"/>
        </w:rPr>
        <w:t>jejich spalováním produkuje doprava 19 mil. t</w:t>
      </w:r>
      <w:r w:rsidR="00CF2351" w:rsidRPr="00B07D79">
        <w:rPr>
          <w:rFonts w:asciiTheme="minorHAnsi" w:hAnsiTheme="minorHAnsi"/>
        </w:rPr>
        <w:t> </w:t>
      </w:r>
      <w:r w:rsidRPr="00B07D79">
        <w:rPr>
          <w:rFonts w:asciiTheme="minorHAnsi" w:hAnsiTheme="minorHAnsi"/>
        </w:rPr>
        <w:t>CO</w:t>
      </w:r>
      <w:r w:rsidRPr="00B07D79">
        <w:rPr>
          <w:rFonts w:asciiTheme="minorHAnsi" w:hAnsiTheme="minorHAnsi"/>
          <w:vertAlign w:val="subscript"/>
        </w:rPr>
        <w:t>2</w:t>
      </w:r>
      <w:r w:rsidRPr="00B07D79">
        <w:rPr>
          <w:rFonts w:asciiTheme="minorHAnsi" w:hAnsiTheme="minorHAnsi"/>
        </w:rPr>
        <w:t>/rok. V</w:t>
      </w:r>
      <w:r w:rsidR="00CF2351" w:rsidRPr="00B07D79">
        <w:rPr>
          <w:rFonts w:asciiTheme="minorHAnsi" w:hAnsiTheme="minorHAnsi"/>
        </w:rPr>
        <w:t> </w:t>
      </w:r>
      <w:r w:rsidRPr="00B07D79">
        <w:rPr>
          <w:rFonts w:asciiTheme="minorHAnsi" w:hAnsiTheme="minorHAnsi"/>
        </w:rPr>
        <w:t>průmyslu činí spotřeba fosilních paliv 34</w:t>
      </w:r>
      <w:r w:rsidR="00C949FA" w:rsidRPr="00B07D79">
        <w:rPr>
          <w:rFonts w:asciiTheme="minorHAnsi" w:hAnsiTheme="minorHAnsi"/>
        </w:rPr>
        <w:t> </w:t>
      </w:r>
      <w:r w:rsidRPr="00B07D79">
        <w:rPr>
          <w:rFonts w:asciiTheme="minorHAnsi" w:hAnsiTheme="minorHAnsi"/>
        </w:rPr>
        <w:t>TWh/rok, tedy 44 % z</w:t>
      </w:r>
      <w:r w:rsidR="00CF2351" w:rsidRPr="00B07D79">
        <w:rPr>
          <w:rFonts w:asciiTheme="minorHAnsi" w:hAnsiTheme="minorHAnsi"/>
        </w:rPr>
        <w:t> </w:t>
      </w:r>
      <w:r w:rsidRPr="00B07D79">
        <w:rPr>
          <w:rFonts w:asciiTheme="minorHAnsi" w:hAnsiTheme="minorHAnsi"/>
        </w:rPr>
        <w:t>konečné spotřeby energie v</w:t>
      </w:r>
      <w:r w:rsidR="00CF2351" w:rsidRPr="00B07D79">
        <w:rPr>
          <w:rFonts w:asciiTheme="minorHAnsi" w:hAnsiTheme="minorHAnsi"/>
        </w:rPr>
        <w:t> </w:t>
      </w:r>
      <w:r w:rsidRPr="00B07D79">
        <w:rPr>
          <w:rFonts w:asciiTheme="minorHAnsi" w:hAnsiTheme="minorHAnsi"/>
        </w:rPr>
        <w:t>průmyslu a</w:t>
      </w:r>
      <w:r w:rsidR="00CF2351" w:rsidRPr="00B07D79">
        <w:rPr>
          <w:rFonts w:asciiTheme="minorHAnsi" w:hAnsiTheme="minorHAnsi"/>
        </w:rPr>
        <w:t> </w:t>
      </w:r>
      <w:r w:rsidRPr="00B07D79">
        <w:rPr>
          <w:rFonts w:asciiTheme="minorHAnsi" w:hAnsiTheme="minorHAnsi"/>
        </w:rPr>
        <w:t>jejich spalováním produkuje průmysl 8 mil. t</w:t>
      </w:r>
      <w:r w:rsidR="00CF2351" w:rsidRPr="00B07D79">
        <w:rPr>
          <w:rFonts w:asciiTheme="minorHAnsi" w:hAnsiTheme="minorHAnsi"/>
        </w:rPr>
        <w:t> </w:t>
      </w:r>
      <w:r w:rsidRPr="00B07D79">
        <w:rPr>
          <w:rFonts w:asciiTheme="minorHAnsi" w:hAnsiTheme="minorHAnsi"/>
        </w:rPr>
        <w:t>CO</w:t>
      </w:r>
      <w:r w:rsidRPr="00B07D79">
        <w:rPr>
          <w:rFonts w:asciiTheme="minorHAnsi" w:hAnsiTheme="minorHAnsi"/>
          <w:vertAlign w:val="subscript"/>
        </w:rPr>
        <w:t>2</w:t>
      </w:r>
      <w:r w:rsidRPr="00B07D79">
        <w:rPr>
          <w:rFonts w:asciiTheme="minorHAnsi" w:hAnsiTheme="minorHAnsi"/>
        </w:rPr>
        <w:t xml:space="preserve">/rok = </w:t>
      </w:r>
      <w:r w:rsidRPr="00B07D79">
        <w:rPr>
          <w:rFonts w:asciiTheme="minorHAnsi" w:hAnsiTheme="minorHAnsi"/>
          <w:iCs/>
        </w:rPr>
        <w:t>Doprava v</w:t>
      </w:r>
      <w:r w:rsidR="00CF2351" w:rsidRPr="00B07D79">
        <w:rPr>
          <w:rFonts w:asciiTheme="minorHAnsi" w:hAnsiTheme="minorHAnsi"/>
          <w:iCs/>
        </w:rPr>
        <w:t> </w:t>
      </w:r>
      <w:r w:rsidRPr="00B07D79">
        <w:rPr>
          <w:rFonts w:asciiTheme="minorHAnsi" w:hAnsiTheme="minorHAnsi"/>
          <w:iCs/>
        </w:rPr>
        <w:t>ČR produkuje spalováním fosilních paliv ve srovnání s</w:t>
      </w:r>
      <w:r w:rsidR="00CF2351" w:rsidRPr="00B07D79">
        <w:rPr>
          <w:rFonts w:asciiTheme="minorHAnsi" w:hAnsiTheme="minorHAnsi"/>
          <w:iCs/>
        </w:rPr>
        <w:t> </w:t>
      </w:r>
      <w:r w:rsidRPr="00B07D79">
        <w:rPr>
          <w:rFonts w:asciiTheme="minorHAnsi" w:hAnsiTheme="minorHAnsi"/>
          <w:iCs/>
        </w:rPr>
        <w:t>průmyslem více než dvojnásobek oxidu uhličitého.</w:t>
      </w:r>
    </w:p>
    <w:p w14:paraId="49FA1831" w14:textId="77777777" w:rsidR="00BF0350" w:rsidRPr="00B07D79" w:rsidRDefault="00BF0350" w:rsidP="00B07D79">
      <w:pPr>
        <w:pStyle w:val="Bullet1"/>
        <w:spacing w:line="276" w:lineRule="auto"/>
        <w:jc w:val="both"/>
        <w:rPr>
          <w:rFonts w:asciiTheme="minorHAnsi" w:hAnsiTheme="minorHAnsi"/>
        </w:rPr>
      </w:pPr>
      <w:r w:rsidRPr="00B07D79">
        <w:rPr>
          <w:rFonts w:asciiTheme="minorHAnsi" w:hAnsiTheme="minorHAnsi"/>
        </w:rPr>
        <w:t xml:space="preserve">doprava má velmi nežádoucí trvale rostoucí dynamiku vývoje spotřeby energie: </w:t>
      </w:r>
    </w:p>
    <w:p w14:paraId="1A7EE0BA" w14:textId="7F4B031A" w:rsidR="00BF0350" w:rsidRPr="00B07D79" w:rsidRDefault="00BF0350" w:rsidP="00B07D79">
      <w:pPr>
        <w:pStyle w:val="Bullet2"/>
        <w:spacing w:line="276" w:lineRule="auto"/>
        <w:jc w:val="both"/>
        <w:rPr>
          <w:rFonts w:asciiTheme="minorHAnsi" w:hAnsiTheme="minorHAnsi"/>
        </w:rPr>
      </w:pPr>
      <w:r w:rsidRPr="00B07D79">
        <w:rPr>
          <w:rFonts w:asciiTheme="minorHAnsi" w:hAnsiTheme="minorHAnsi"/>
        </w:rPr>
        <w:t>v průběhu 9 let 2010 až 2019 vzrostla v</w:t>
      </w:r>
      <w:r w:rsidR="00CF2351" w:rsidRPr="00B07D79">
        <w:rPr>
          <w:rFonts w:asciiTheme="minorHAnsi" w:hAnsiTheme="minorHAnsi"/>
        </w:rPr>
        <w:t> </w:t>
      </w:r>
      <w:r w:rsidRPr="00B07D79">
        <w:rPr>
          <w:rFonts w:asciiTheme="minorHAnsi" w:hAnsiTheme="minorHAnsi"/>
        </w:rPr>
        <w:t>ČR spotřeba energie v</w:t>
      </w:r>
      <w:r w:rsidR="00CF2351" w:rsidRPr="00B07D79">
        <w:rPr>
          <w:rFonts w:asciiTheme="minorHAnsi" w:hAnsiTheme="minorHAnsi"/>
        </w:rPr>
        <w:t> </w:t>
      </w:r>
      <w:r w:rsidRPr="00B07D79">
        <w:rPr>
          <w:rFonts w:asciiTheme="minorHAnsi" w:hAnsiTheme="minorHAnsi"/>
        </w:rPr>
        <w:t>dopravě ze 68,8 TWh/rok na 78,8 TWh/rok. To je nárůst o</w:t>
      </w:r>
      <w:r w:rsidR="00CF2351" w:rsidRPr="00B07D79">
        <w:rPr>
          <w:rFonts w:asciiTheme="minorHAnsi" w:hAnsiTheme="minorHAnsi"/>
        </w:rPr>
        <w:t> </w:t>
      </w:r>
      <w:r w:rsidRPr="00B07D79">
        <w:rPr>
          <w:rFonts w:asciiTheme="minorHAnsi" w:hAnsiTheme="minorHAnsi"/>
        </w:rPr>
        <w:t>10 TWh/rok (to činí 14,6 %) za 9 let, tedy nárůst v</w:t>
      </w:r>
      <w:r w:rsidR="00CF2351" w:rsidRPr="00B07D79">
        <w:rPr>
          <w:rFonts w:asciiTheme="minorHAnsi" w:hAnsiTheme="minorHAnsi"/>
        </w:rPr>
        <w:t> </w:t>
      </w:r>
      <w:r w:rsidRPr="00B07D79">
        <w:rPr>
          <w:rFonts w:asciiTheme="minorHAnsi" w:hAnsiTheme="minorHAnsi"/>
        </w:rPr>
        <w:t>průměru o</w:t>
      </w:r>
      <w:r w:rsidR="00CF2351" w:rsidRPr="00B07D79">
        <w:rPr>
          <w:rFonts w:asciiTheme="minorHAnsi" w:hAnsiTheme="minorHAnsi"/>
        </w:rPr>
        <w:t> </w:t>
      </w:r>
      <w:r w:rsidRPr="00B07D79">
        <w:rPr>
          <w:rFonts w:asciiTheme="minorHAnsi" w:hAnsiTheme="minorHAnsi"/>
        </w:rPr>
        <w:t>1,1 TWh/rok (1,6 %) ročně,</w:t>
      </w:r>
    </w:p>
    <w:p w14:paraId="107FF9A5" w14:textId="348F182B" w:rsidR="00BF0350" w:rsidRPr="00B07D79" w:rsidRDefault="00BF0350" w:rsidP="00B07D79">
      <w:pPr>
        <w:pStyle w:val="Bullet2"/>
        <w:spacing w:line="276" w:lineRule="auto"/>
        <w:jc w:val="both"/>
        <w:rPr>
          <w:rFonts w:asciiTheme="minorHAnsi" w:hAnsiTheme="minorHAnsi"/>
        </w:rPr>
      </w:pPr>
      <w:r w:rsidRPr="00B07D79">
        <w:rPr>
          <w:rFonts w:asciiTheme="minorHAnsi" w:hAnsiTheme="minorHAnsi"/>
        </w:rPr>
        <w:t>ve stejném období 9 let 2010 až 2019 poklesla v</w:t>
      </w:r>
      <w:r w:rsidR="00CF2351" w:rsidRPr="00B07D79">
        <w:rPr>
          <w:rFonts w:asciiTheme="minorHAnsi" w:hAnsiTheme="minorHAnsi"/>
        </w:rPr>
        <w:t> </w:t>
      </w:r>
      <w:r w:rsidRPr="00B07D79">
        <w:rPr>
          <w:rFonts w:asciiTheme="minorHAnsi" w:hAnsiTheme="minorHAnsi"/>
        </w:rPr>
        <w:t>ČR spotřeba energie v</w:t>
      </w:r>
      <w:r w:rsidR="00CF2351" w:rsidRPr="00B07D79">
        <w:rPr>
          <w:rFonts w:asciiTheme="minorHAnsi" w:hAnsiTheme="minorHAnsi"/>
        </w:rPr>
        <w:t> </w:t>
      </w:r>
      <w:r w:rsidRPr="00B07D79">
        <w:rPr>
          <w:rFonts w:asciiTheme="minorHAnsi" w:hAnsiTheme="minorHAnsi"/>
        </w:rPr>
        <w:t>průmyslu z</w:t>
      </w:r>
      <w:r w:rsidR="00CF2351" w:rsidRPr="00B07D79">
        <w:rPr>
          <w:rFonts w:asciiTheme="minorHAnsi" w:hAnsiTheme="minorHAnsi"/>
        </w:rPr>
        <w:t> </w:t>
      </w:r>
      <w:r w:rsidRPr="00B07D79">
        <w:rPr>
          <w:rFonts w:asciiTheme="minorHAnsi" w:hAnsiTheme="minorHAnsi"/>
        </w:rPr>
        <w:t>80,6 TWh/rok na 76,4 TWh/rok. To je pokles o</w:t>
      </w:r>
      <w:r w:rsidR="00CF2351" w:rsidRPr="00B07D79">
        <w:rPr>
          <w:rFonts w:asciiTheme="minorHAnsi" w:hAnsiTheme="minorHAnsi"/>
        </w:rPr>
        <w:t> </w:t>
      </w:r>
      <w:r w:rsidRPr="00B07D79">
        <w:rPr>
          <w:rFonts w:asciiTheme="minorHAnsi" w:hAnsiTheme="minorHAnsi"/>
        </w:rPr>
        <w:t>- 4,2 TWh/rok (to činí - 5,2 %) za 9</w:t>
      </w:r>
      <w:r w:rsidR="00C949FA" w:rsidRPr="00B07D79">
        <w:rPr>
          <w:rFonts w:asciiTheme="minorHAnsi" w:hAnsiTheme="minorHAnsi"/>
        </w:rPr>
        <w:t> </w:t>
      </w:r>
      <w:r w:rsidRPr="00B07D79">
        <w:rPr>
          <w:rFonts w:asciiTheme="minorHAnsi" w:hAnsiTheme="minorHAnsi"/>
        </w:rPr>
        <w:t>let, tedy pokles v</w:t>
      </w:r>
      <w:r w:rsidR="00CF2351" w:rsidRPr="00B07D79">
        <w:rPr>
          <w:rFonts w:asciiTheme="minorHAnsi" w:hAnsiTheme="minorHAnsi"/>
        </w:rPr>
        <w:t> </w:t>
      </w:r>
      <w:r w:rsidRPr="00B07D79">
        <w:rPr>
          <w:rFonts w:asciiTheme="minorHAnsi" w:hAnsiTheme="minorHAnsi"/>
        </w:rPr>
        <w:t>průměru o</w:t>
      </w:r>
      <w:r w:rsidR="00CF2351" w:rsidRPr="00B07D79">
        <w:rPr>
          <w:rFonts w:asciiTheme="minorHAnsi" w:hAnsiTheme="minorHAnsi"/>
        </w:rPr>
        <w:t> </w:t>
      </w:r>
      <w:r w:rsidRPr="00B07D79">
        <w:rPr>
          <w:rFonts w:asciiTheme="minorHAnsi" w:hAnsiTheme="minorHAnsi"/>
        </w:rPr>
        <w:t>- 0,46 TWh/rok (- 0,6 %) ročně</w:t>
      </w:r>
    </w:p>
    <w:p w14:paraId="1898D9A7" w14:textId="2B319C3A" w:rsidR="00BF0350" w:rsidRPr="00B07D79" w:rsidRDefault="00BF0350" w:rsidP="00B07D79">
      <w:pPr>
        <w:spacing w:line="276" w:lineRule="auto"/>
        <w:jc w:val="both"/>
        <w:rPr>
          <w:rFonts w:asciiTheme="minorHAnsi" w:hAnsiTheme="minorHAnsi" w:cs="Arial"/>
        </w:rPr>
      </w:pPr>
      <w:r w:rsidRPr="00B07D79">
        <w:rPr>
          <w:rFonts w:asciiTheme="minorHAnsi" w:hAnsiTheme="minorHAnsi" w:cs="Arial"/>
        </w:rPr>
        <w:t>Příčina vysoké energetické náročnosti automobilové dopravy je ve vysokém valivém odporu pneumatik po vozovce, ve vysokém aerodynamickém odporu krátkých samostatně jedoucích vozidel ve vzdušném prostředí, ale především dosud téměř výhradní použití spalovacích motorů k</w:t>
      </w:r>
      <w:r w:rsidR="00CF2351" w:rsidRPr="00B07D79">
        <w:rPr>
          <w:rFonts w:asciiTheme="minorHAnsi" w:hAnsiTheme="minorHAnsi" w:cs="Arial"/>
        </w:rPr>
        <w:t> </w:t>
      </w:r>
      <w:r w:rsidRPr="00B07D79">
        <w:rPr>
          <w:rFonts w:asciiTheme="minorHAnsi" w:hAnsiTheme="minorHAnsi" w:cs="Arial"/>
        </w:rPr>
        <w:t>pohonu automobilů. Spalovací motor mění v</w:t>
      </w:r>
      <w:r w:rsidR="00CF2351" w:rsidRPr="00B07D79">
        <w:rPr>
          <w:rFonts w:asciiTheme="minorHAnsi" w:hAnsiTheme="minorHAnsi" w:cs="Arial"/>
        </w:rPr>
        <w:t> </w:t>
      </w:r>
      <w:r w:rsidRPr="00B07D79">
        <w:rPr>
          <w:rFonts w:asciiTheme="minorHAnsi" w:hAnsiTheme="minorHAnsi" w:cs="Arial"/>
        </w:rPr>
        <w:t>užitečnou mechanickou práci jen zhruba jednu třetinu energie výhřevnosti paliva, zbylé dvě třetiny energie paliva vytvářejí ztrátové teplo, které nelze v</w:t>
      </w:r>
      <w:r w:rsidR="00CF2351" w:rsidRPr="00B07D79">
        <w:rPr>
          <w:rFonts w:asciiTheme="minorHAnsi" w:hAnsiTheme="minorHAnsi" w:cs="Arial"/>
        </w:rPr>
        <w:t> </w:t>
      </w:r>
      <w:r w:rsidRPr="00B07D79">
        <w:rPr>
          <w:rFonts w:asciiTheme="minorHAnsi" w:hAnsiTheme="minorHAnsi" w:cs="Arial"/>
        </w:rPr>
        <w:t xml:space="preserve">mobilních aplikacích náležitě využít. </w:t>
      </w:r>
    </w:p>
    <w:p w14:paraId="3AE2A3AD" w14:textId="6C5A9944" w:rsidR="00BF0350" w:rsidRPr="00B07D79" w:rsidRDefault="00BF0350" w:rsidP="00B07D79">
      <w:pPr>
        <w:spacing w:line="276" w:lineRule="auto"/>
        <w:jc w:val="both"/>
        <w:rPr>
          <w:rFonts w:asciiTheme="minorHAnsi" w:hAnsiTheme="minorHAnsi" w:cs="Arial"/>
        </w:rPr>
      </w:pPr>
      <w:r w:rsidRPr="00B07D79">
        <w:rPr>
          <w:rFonts w:asciiTheme="minorHAnsi" w:hAnsiTheme="minorHAnsi" w:cs="Arial"/>
        </w:rPr>
        <w:t>Jde o</w:t>
      </w:r>
      <w:r w:rsidR="00CF2351" w:rsidRPr="00B07D79">
        <w:rPr>
          <w:rFonts w:asciiTheme="minorHAnsi" w:hAnsiTheme="minorHAnsi" w:cs="Arial"/>
        </w:rPr>
        <w:t> </w:t>
      </w:r>
      <w:r w:rsidRPr="00B07D79">
        <w:rPr>
          <w:rFonts w:asciiTheme="minorHAnsi" w:hAnsiTheme="minorHAnsi" w:cs="Arial"/>
        </w:rPr>
        <w:t>velké ztráty energie, ztrátové teplo vytvořené spalovacími motory dopravních prostředků (v ČR zhruba 52 TWh/rok) je více než dvojnásobkem tepla dodaného ročně teplárnami k</w:t>
      </w:r>
      <w:r w:rsidR="00CF2351" w:rsidRPr="00B07D79">
        <w:rPr>
          <w:rFonts w:asciiTheme="minorHAnsi" w:hAnsiTheme="minorHAnsi" w:cs="Arial"/>
        </w:rPr>
        <w:t> </w:t>
      </w:r>
      <w:r w:rsidRPr="00B07D79">
        <w:rPr>
          <w:rFonts w:asciiTheme="minorHAnsi" w:hAnsiTheme="minorHAnsi" w:cs="Arial"/>
        </w:rPr>
        <w:t>vytápění budov (v ČR zhruba 24 TWh/rok). Spalovací motory mají z</w:t>
      </w:r>
      <w:r w:rsidR="00CF2351" w:rsidRPr="00B07D79">
        <w:rPr>
          <w:rFonts w:asciiTheme="minorHAnsi" w:hAnsiTheme="minorHAnsi" w:cs="Arial"/>
        </w:rPr>
        <w:t> </w:t>
      </w:r>
      <w:r w:rsidRPr="00B07D79">
        <w:rPr>
          <w:rFonts w:asciiTheme="minorHAnsi" w:hAnsiTheme="minorHAnsi" w:cs="Arial"/>
        </w:rPr>
        <w:t>důvodu jejich energetické bilance (dodávají více tepla, než mechanické práce) logiku používat ve stacionárních aplikacích s</w:t>
      </w:r>
      <w:r w:rsidR="00CF2351" w:rsidRPr="00B07D79">
        <w:rPr>
          <w:rFonts w:asciiTheme="minorHAnsi" w:hAnsiTheme="minorHAnsi" w:cs="Arial"/>
        </w:rPr>
        <w:t> </w:t>
      </w:r>
      <w:r w:rsidRPr="00B07D79">
        <w:rPr>
          <w:rFonts w:asciiTheme="minorHAnsi" w:hAnsiTheme="minorHAnsi" w:cs="Arial"/>
        </w:rPr>
        <w:t>využitím tepla (kogenerační jednotky), nikoliv v</w:t>
      </w:r>
      <w:r w:rsidR="00CF2351" w:rsidRPr="00B07D79">
        <w:rPr>
          <w:rFonts w:asciiTheme="minorHAnsi" w:hAnsiTheme="minorHAnsi" w:cs="Arial"/>
        </w:rPr>
        <w:t> </w:t>
      </w:r>
      <w:r w:rsidRPr="00B07D79">
        <w:rPr>
          <w:rFonts w:asciiTheme="minorHAnsi" w:hAnsiTheme="minorHAnsi" w:cs="Arial"/>
        </w:rPr>
        <w:t>mobilních aplikacích, ve kterých je většina energie paliva ztracena. Velkým nedostatkem spalovacích motorů i</w:t>
      </w:r>
      <w:r w:rsidR="00CF2351" w:rsidRPr="00B07D79">
        <w:rPr>
          <w:rFonts w:asciiTheme="minorHAnsi" w:hAnsiTheme="minorHAnsi" w:cs="Arial"/>
        </w:rPr>
        <w:t> </w:t>
      </w:r>
      <w:r w:rsidRPr="00B07D79">
        <w:rPr>
          <w:rFonts w:asciiTheme="minorHAnsi" w:hAnsiTheme="minorHAnsi" w:cs="Arial"/>
        </w:rPr>
        <w:t>ji jejich principiální neschopnost přijímat zpět při spádovém či zastavovacím brzdění potenciální či kinetickou energii a</w:t>
      </w:r>
      <w:r w:rsidR="00CF2351" w:rsidRPr="00B07D79">
        <w:rPr>
          <w:rFonts w:asciiTheme="minorHAnsi" w:hAnsiTheme="minorHAnsi" w:cs="Arial"/>
        </w:rPr>
        <w:t> </w:t>
      </w:r>
      <w:r w:rsidRPr="00B07D79">
        <w:rPr>
          <w:rFonts w:asciiTheme="minorHAnsi" w:hAnsiTheme="minorHAnsi" w:cs="Arial"/>
        </w:rPr>
        <w:t xml:space="preserve">opětovně ji využívat. </w:t>
      </w:r>
    </w:p>
    <w:p w14:paraId="23ADECAE" w14:textId="438878FD" w:rsidR="00BF0350" w:rsidRPr="00B07D79" w:rsidRDefault="00BF0350" w:rsidP="00B07D79">
      <w:pPr>
        <w:spacing w:line="276" w:lineRule="auto"/>
        <w:jc w:val="both"/>
        <w:rPr>
          <w:rFonts w:asciiTheme="minorHAnsi" w:hAnsiTheme="minorHAnsi" w:cs="Arial"/>
        </w:rPr>
      </w:pPr>
      <w:r w:rsidRPr="00B07D79">
        <w:rPr>
          <w:rFonts w:asciiTheme="minorHAnsi" w:hAnsiTheme="minorHAnsi" w:cs="Arial"/>
        </w:rPr>
        <w:t>Nejvýraznější potenciál z</w:t>
      </w:r>
      <w:r w:rsidR="00CF2351" w:rsidRPr="00B07D79">
        <w:rPr>
          <w:rFonts w:asciiTheme="minorHAnsi" w:hAnsiTheme="minorHAnsi" w:cs="Arial"/>
        </w:rPr>
        <w:t> </w:t>
      </w:r>
      <w:r w:rsidRPr="00B07D79">
        <w:rPr>
          <w:rFonts w:asciiTheme="minorHAnsi" w:hAnsiTheme="minorHAnsi" w:cs="Arial"/>
        </w:rPr>
        <w:t>hlediska snížení spotřeby energie v</w:t>
      </w:r>
      <w:r w:rsidR="00CF2351" w:rsidRPr="00B07D79">
        <w:rPr>
          <w:rFonts w:asciiTheme="minorHAnsi" w:hAnsiTheme="minorHAnsi" w:cs="Arial"/>
        </w:rPr>
        <w:t> </w:t>
      </w:r>
      <w:r w:rsidRPr="00B07D79">
        <w:rPr>
          <w:rFonts w:asciiTheme="minorHAnsi" w:hAnsiTheme="minorHAnsi" w:cs="Arial"/>
        </w:rPr>
        <w:t xml:space="preserve">dopravě (až na jednu osminu) přitom nabízí železniční doprava (na bázi liniové elektrizace). Zde platí, že zatímco naftový automobil má spotřebu 0,240 kWh/netto tkm, elektrická železnice pouze 0,030 kWh/netto tkm.  Ve výsledku je </w:t>
      </w:r>
      <w:r w:rsidRPr="00B07D79">
        <w:rPr>
          <w:rFonts w:asciiTheme="minorHAnsi" w:hAnsiTheme="minorHAnsi" w:cs="Arial"/>
        </w:rPr>
        <w:lastRenderedPageBreak/>
        <w:t>železniční elektrická doprava zhruba 7,5krát energeticky efektivnější</w:t>
      </w:r>
      <w:r w:rsidRPr="00B07D79">
        <w:rPr>
          <w:rStyle w:val="Znakapoznpodarou"/>
          <w:rFonts w:asciiTheme="minorHAnsi" w:hAnsiTheme="minorHAnsi" w:cs="Arial"/>
        </w:rPr>
        <w:footnoteReference w:id="8"/>
      </w:r>
      <w:r w:rsidRPr="00B07D79">
        <w:rPr>
          <w:rFonts w:asciiTheme="minorHAnsi" w:hAnsiTheme="minorHAnsi" w:cs="Arial"/>
        </w:rPr>
        <w:t xml:space="preserve"> ve</w:t>
      </w:r>
      <w:r w:rsidR="00C949FA" w:rsidRPr="00B07D79">
        <w:rPr>
          <w:rFonts w:asciiTheme="minorHAnsi" w:hAnsiTheme="minorHAnsi" w:cs="Arial"/>
        </w:rPr>
        <w:t> </w:t>
      </w:r>
      <w:r w:rsidRPr="00B07D79">
        <w:rPr>
          <w:rFonts w:asciiTheme="minorHAnsi" w:hAnsiTheme="minorHAnsi" w:cs="Arial"/>
        </w:rPr>
        <w:t xml:space="preserve">srovnání se silniční dopravou – viz </w:t>
      </w:r>
      <w:r w:rsidRPr="00B07D79">
        <w:rPr>
          <w:rFonts w:asciiTheme="minorHAnsi" w:hAnsiTheme="minorHAnsi" w:cs="Arial"/>
        </w:rPr>
        <w:fldChar w:fldCharType="begin"/>
      </w:r>
      <w:r w:rsidRPr="00B07D79">
        <w:rPr>
          <w:rFonts w:asciiTheme="minorHAnsi" w:hAnsiTheme="minorHAnsi" w:cs="Arial"/>
        </w:rPr>
        <w:instrText xml:space="preserve"> REF _Ref167197847 \h </w:instrText>
      </w:r>
      <w:r w:rsidR="00B07D79" w:rsidRPr="00B07D79">
        <w:rPr>
          <w:rFonts w:asciiTheme="minorHAnsi" w:hAnsiTheme="minorHAnsi" w:cs="Arial"/>
        </w:rPr>
        <w:instrText xml:space="preserve"> \* MERGEFORMAT </w:instrText>
      </w:r>
      <w:r w:rsidRPr="00B07D79">
        <w:rPr>
          <w:rFonts w:asciiTheme="minorHAnsi" w:hAnsiTheme="minorHAnsi" w:cs="Arial"/>
        </w:rPr>
      </w:r>
      <w:r w:rsidRPr="00B07D79">
        <w:rPr>
          <w:rFonts w:asciiTheme="minorHAnsi" w:hAnsiTheme="minorHAnsi" w:cs="Arial"/>
        </w:rPr>
        <w:fldChar w:fldCharType="separate"/>
      </w:r>
      <w:r w:rsidRPr="00B07D79">
        <w:rPr>
          <w:rFonts w:asciiTheme="minorHAnsi" w:hAnsiTheme="minorHAnsi"/>
        </w:rPr>
        <w:t xml:space="preserve">Obrázek </w:t>
      </w:r>
      <w:r w:rsidRPr="00B07D79">
        <w:rPr>
          <w:rFonts w:asciiTheme="minorHAnsi" w:hAnsiTheme="minorHAnsi"/>
          <w:noProof/>
        </w:rPr>
        <w:t>1</w:t>
      </w:r>
      <w:r w:rsidRPr="00B07D79">
        <w:rPr>
          <w:rFonts w:asciiTheme="minorHAnsi" w:hAnsiTheme="minorHAnsi" w:cs="Arial"/>
        </w:rPr>
        <w:fldChar w:fldCharType="end"/>
      </w:r>
      <w:r w:rsidRPr="00B07D79">
        <w:rPr>
          <w:rFonts w:asciiTheme="minorHAnsi" w:hAnsiTheme="minorHAnsi" w:cs="Arial"/>
        </w:rPr>
        <w:t>.</w:t>
      </w:r>
    </w:p>
    <w:p w14:paraId="625D97F7" w14:textId="77777777" w:rsidR="00BF0350" w:rsidRPr="00B07D79" w:rsidRDefault="00BF0350" w:rsidP="00B07D79">
      <w:pPr>
        <w:pStyle w:val="Titulek"/>
        <w:keepNext/>
        <w:spacing w:line="276" w:lineRule="auto"/>
        <w:jc w:val="both"/>
        <w:rPr>
          <w:rFonts w:asciiTheme="minorHAnsi" w:hAnsiTheme="minorHAnsi"/>
          <w:b w:val="0"/>
          <w:bCs w:val="0"/>
          <w:color w:val="385623" w:themeColor="accent6" w:themeShade="80"/>
        </w:rPr>
      </w:pPr>
      <w:r w:rsidRPr="00B07D79">
        <w:rPr>
          <w:rFonts w:asciiTheme="minorHAnsi" w:hAnsiTheme="minorHAnsi"/>
          <w:b w:val="0"/>
          <w:bCs w:val="0"/>
          <w:color w:val="385623" w:themeColor="accent6" w:themeShade="80"/>
        </w:rPr>
        <w:t xml:space="preserve">Obrázek </w:t>
      </w:r>
      <w:r w:rsidR="003D774B" w:rsidRPr="00B07D79">
        <w:rPr>
          <w:rFonts w:asciiTheme="minorHAnsi" w:hAnsiTheme="minorHAnsi"/>
          <w:b w:val="0"/>
          <w:bCs w:val="0"/>
          <w:color w:val="385623" w:themeColor="accent6" w:themeShade="80"/>
        </w:rPr>
        <w:fldChar w:fldCharType="begin"/>
      </w:r>
      <w:r w:rsidR="003D774B" w:rsidRPr="00B07D79">
        <w:rPr>
          <w:rFonts w:asciiTheme="minorHAnsi" w:hAnsiTheme="minorHAnsi"/>
          <w:b w:val="0"/>
          <w:bCs w:val="0"/>
          <w:color w:val="385623" w:themeColor="accent6" w:themeShade="80"/>
        </w:rPr>
        <w:instrText xml:space="preserve"> SEQ Obrázek \* ARABIC </w:instrText>
      </w:r>
      <w:r w:rsidR="003D774B" w:rsidRPr="00B07D79">
        <w:rPr>
          <w:rFonts w:asciiTheme="minorHAnsi" w:hAnsiTheme="minorHAnsi"/>
          <w:b w:val="0"/>
          <w:bCs w:val="0"/>
          <w:color w:val="385623" w:themeColor="accent6" w:themeShade="80"/>
        </w:rPr>
        <w:fldChar w:fldCharType="separate"/>
      </w:r>
      <w:r w:rsidRPr="00B07D79">
        <w:rPr>
          <w:rFonts w:asciiTheme="minorHAnsi" w:hAnsiTheme="minorHAnsi"/>
          <w:b w:val="0"/>
          <w:bCs w:val="0"/>
          <w:noProof/>
          <w:color w:val="385623" w:themeColor="accent6" w:themeShade="80"/>
        </w:rPr>
        <w:t>1</w:t>
      </w:r>
      <w:r w:rsidR="003D774B" w:rsidRPr="00B07D79">
        <w:rPr>
          <w:rFonts w:asciiTheme="minorHAnsi" w:hAnsiTheme="minorHAnsi"/>
          <w:b w:val="0"/>
          <w:bCs w:val="0"/>
          <w:noProof/>
          <w:color w:val="385623" w:themeColor="accent6" w:themeShade="80"/>
        </w:rPr>
        <w:fldChar w:fldCharType="end"/>
      </w:r>
      <w:r w:rsidRPr="00B07D79">
        <w:rPr>
          <w:rFonts w:asciiTheme="minorHAnsi" w:hAnsiTheme="minorHAnsi"/>
          <w:b w:val="0"/>
          <w:bCs w:val="0"/>
          <w:color w:val="385623" w:themeColor="accent6" w:themeShade="80"/>
        </w:rPr>
        <w:t xml:space="preserve"> Poměrná energetická náročnost dopravy</w:t>
      </w:r>
    </w:p>
    <w:p w14:paraId="3B9BC6E2" w14:textId="77777777" w:rsidR="00BF0350" w:rsidRPr="00B07D79" w:rsidRDefault="00BF0350" w:rsidP="00B07D79">
      <w:pPr>
        <w:spacing w:line="276" w:lineRule="auto"/>
        <w:jc w:val="both"/>
        <w:rPr>
          <w:rFonts w:asciiTheme="minorHAnsi" w:hAnsiTheme="minorHAnsi" w:cs="Arial"/>
        </w:rPr>
      </w:pPr>
      <w:r w:rsidRPr="00B07D79">
        <w:rPr>
          <w:rFonts w:asciiTheme="minorHAnsi" w:hAnsiTheme="minorHAnsi" w:cs="Arial"/>
          <w:noProof/>
        </w:rPr>
        <w:drawing>
          <wp:inline distT="0" distB="0" distL="0" distR="0" wp14:anchorId="6FD3429F" wp14:editId="16AFBD2F">
            <wp:extent cx="5760000" cy="4068000"/>
            <wp:effectExtent l="0" t="0" r="0" b="8890"/>
            <wp:docPr id="720355615" name="Obrázek 72035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4068000"/>
                    </a:xfrm>
                    <a:prstGeom prst="rect">
                      <a:avLst/>
                    </a:prstGeom>
                    <a:noFill/>
                    <a:ln>
                      <a:noFill/>
                    </a:ln>
                  </pic:spPr>
                </pic:pic>
              </a:graphicData>
            </a:graphic>
          </wp:inline>
        </w:drawing>
      </w:r>
    </w:p>
    <w:p w14:paraId="582B6BEE" w14:textId="77777777" w:rsidR="00BF0350" w:rsidRPr="00B07D79" w:rsidRDefault="00BF0350" w:rsidP="00B07D79">
      <w:pPr>
        <w:spacing w:line="276" w:lineRule="auto"/>
        <w:jc w:val="both"/>
        <w:rPr>
          <w:rFonts w:asciiTheme="minorHAnsi" w:hAnsiTheme="minorHAnsi" w:cs="Arial"/>
          <w:iCs/>
          <w:sz w:val="24"/>
          <w:szCs w:val="28"/>
        </w:rPr>
      </w:pPr>
      <w:r w:rsidRPr="00B07D79">
        <w:rPr>
          <w:rFonts w:asciiTheme="minorHAnsi" w:hAnsiTheme="minorHAnsi"/>
        </w:rPr>
        <w:br w:type="page"/>
      </w:r>
    </w:p>
    <w:p w14:paraId="399751CF" w14:textId="345866B1" w:rsidR="00543428" w:rsidRPr="00B07D79" w:rsidRDefault="00543428" w:rsidP="000E5B59">
      <w:pPr>
        <w:pStyle w:val="Nadpis1"/>
      </w:pPr>
      <w:bookmarkStart w:id="214" w:name="_Toc173240065"/>
      <w:r w:rsidRPr="00B07D79">
        <w:lastRenderedPageBreak/>
        <w:t>Čistá mobilita v</w:t>
      </w:r>
      <w:r w:rsidR="00CF2351" w:rsidRPr="00B07D79">
        <w:t> </w:t>
      </w:r>
      <w:r w:rsidRPr="00B07D79">
        <w:t>širších souvislostech</w:t>
      </w:r>
      <w:bookmarkEnd w:id="214"/>
    </w:p>
    <w:p w14:paraId="65892C7C" w14:textId="0B8CEE2B"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Oblastí čisté mobility se zabývá stěžejní dokument Ministerstva dopravy, a</w:t>
      </w:r>
      <w:r w:rsidR="00CF2351" w:rsidRPr="00B07D79">
        <w:rPr>
          <w:rFonts w:asciiTheme="minorHAnsi" w:hAnsiTheme="minorHAnsi" w:cs="Arial"/>
        </w:rPr>
        <w:t> </w:t>
      </w:r>
      <w:r w:rsidRPr="00B07D79">
        <w:rPr>
          <w:rFonts w:asciiTheme="minorHAnsi" w:hAnsiTheme="minorHAnsi" w:cs="Arial"/>
        </w:rPr>
        <w:t>to Dopravní politika České republiky pro období 2021–2027 s</w:t>
      </w:r>
      <w:r w:rsidR="00CF2351" w:rsidRPr="00B07D79">
        <w:rPr>
          <w:rFonts w:asciiTheme="minorHAnsi" w:hAnsiTheme="minorHAnsi" w:cs="Arial"/>
        </w:rPr>
        <w:t> </w:t>
      </w:r>
      <w:r w:rsidRPr="00B07D79">
        <w:rPr>
          <w:rFonts w:asciiTheme="minorHAnsi" w:hAnsiTheme="minorHAnsi" w:cs="Arial"/>
        </w:rPr>
        <w:t>výhledem do roku 2050, která byla schválena usnesením vlády č. 259/2021 (dále jen „Dopravní politika“). K</w:t>
      </w:r>
      <w:r w:rsidR="00CF2351" w:rsidRPr="00B07D79">
        <w:rPr>
          <w:rFonts w:asciiTheme="minorHAnsi" w:hAnsiTheme="minorHAnsi" w:cs="Arial"/>
        </w:rPr>
        <w:t> </w:t>
      </w:r>
      <w:r w:rsidRPr="00B07D79">
        <w:rPr>
          <w:rFonts w:asciiTheme="minorHAnsi" w:hAnsiTheme="minorHAnsi" w:cs="Arial"/>
        </w:rPr>
        <w:t>základním tezím uvedených v</w:t>
      </w:r>
      <w:r w:rsidR="00CF2351" w:rsidRPr="00B07D79">
        <w:rPr>
          <w:rFonts w:asciiTheme="minorHAnsi" w:hAnsiTheme="minorHAnsi" w:cs="Arial"/>
        </w:rPr>
        <w:t> </w:t>
      </w:r>
      <w:r w:rsidRPr="00B07D79">
        <w:rPr>
          <w:rFonts w:asciiTheme="minorHAnsi" w:hAnsiTheme="minorHAnsi" w:cs="Arial"/>
        </w:rPr>
        <w:t>Dopravní politice patří nutná změna struktury využívání energie v</w:t>
      </w:r>
      <w:r w:rsidR="00CF2351" w:rsidRPr="00B07D79">
        <w:rPr>
          <w:rFonts w:asciiTheme="minorHAnsi" w:hAnsiTheme="minorHAnsi" w:cs="Arial"/>
        </w:rPr>
        <w:t> </w:t>
      </w:r>
      <w:r w:rsidRPr="00B07D79">
        <w:rPr>
          <w:rFonts w:asciiTheme="minorHAnsi" w:hAnsiTheme="minorHAnsi" w:cs="Arial"/>
        </w:rPr>
        <w:t>dopravě v</w:t>
      </w:r>
      <w:r w:rsidR="00CF2351" w:rsidRPr="00B07D79">
        <w:rPr>
          <w:rFonts w:asciiTheme="minorHAnsi" w:hAnsiTheme="minorHAnsi" w:cs="Arial"/>
        </w:rPr>
        <w:t> </w:t>
      </w:r>
      <w:r w:rsidRPr="00B07D79">
        <w:rPr>
          <w:rFonts w:asciiTheme="minorHAnsi" w:hAnsiTheme="minorHAnsi" w:cs="Arial"/>
        </w:rPr>
        <w:t>souladu s</w:t>
      </w:r>
      <w:r w:rsidR="00CF2351" w:rsidRPr="00B07D79">
        <w:rPr>
          <w:rFonts w:asciiTheme="minorHAnsi" w:hAnsiTheme="minorHAnsi" w:cs="Arial"/>
        </w:rPr>
        <w:t> </w:t>
      </w:r>
      <w:r w:rsidRPr="00B07D79">
        <w:rPr>
          <w:rFonts w:asciiTheme="minorHAnsi" w:hAnsiTheme="minorHAnsi" w:cs="Arial"/>
        </w:rPr>
        <w:t>mezinárodními a</w:t>
      </w:r>
      <w:r w:rsidR="00CF2351" w:rsidRPr="00B07D79">
        <w:rPr>
          <w:rFonts w:asciiTheme="minorHAnsi" w:hAnsiTheme="minorHAnsi" w:cs="Arial"/>
        </w:rPr>
        <w:t> </w:t>
      </w:r>
      <w:r w:rsidRPr="00B07D79">
        <w:rPr>
          <w:rFonts w:asciiTheme="minorHAnsi" w:hAnsiTheme="minorHAnsi" w:cs="Arial"/>
        </w:rPr>
        <w:t>národními koncepcemi, které jsou v</w:t>
      </w:r>
      <w:r w:rsidR="00CF2351" w:rsidRPr="00B07D79">
        <w:rPr>
          <w:rFonts w:asciiTheme="minorHAnsi" w:hAnsiTheme="minorHAnsi" w:cs="Arial"/>
        </w:rPr>
        <w:t> </w:t>
      </w:r>
      <w:r w:rsidRPr="00B07D79">
        <w:rPr>
          <w:rFonts w:asciiTheme="minorHAnsi" w:hAnsiTheme="minorHAnsi" w:cs="Arial"/>
        </w:rPr>
        <w:t xml:space="preserve">Dopravní politice uvedeny. </w:t>
      </w:r>
    </w:p>
    <w:p w14:paraId="5A7C7A9F" w14:textId="38999614"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Základem je uvědomění si dominantní role energeticky velmi náročných automobilů poháněných spalovacími motory s</w:t>
      </w:r>
      <w:r w:rsidR="00CF2351" w:rsidRPr="00B07D79">
        <w:rPr>
          <w:rFonts w:asciiTheme="minorHAnsi" w:hAnsiTheme="minorHAnsi" w:cs="Arial"/>
        </w:rPr>
        <w:t> </w:t>
      </w:r>
      <w:r w:rsidRPr="00B07D79">
        <w:rPr>
          <w:rFonts w:asciiTheme="minorHAnsi" w:hAnsiTheme="minorHAnsi" w:cs="Arial"/>
        </w:rPr>
        <w:t>nízkou účinností, což je příčinou vysoké spotřeby energie pro dopravu, která v</w:t>
      </w:r>
      <w:r w:rsidR="00CF2351" w:rsidRPr="00B07D79">
        <w:rPr>
          <w:rFonts w:asciiTheme="minorHAnsi" w:hAnsiTheme="minorHAnsi" w:cs="Arial"/>
        </w:rPr>
        <w:t> </w:t>
      </w:r>
      <w:r w:rsidRPr="00B07D79">
        <w:rPr>
          <w:rFonts w:asciiTheme="minorHAnsi" w:hAnsiTheme="minorHAnsi" w:cs="Arial"/>
        </w:rPr>
        <w:t>minulých létech soustavně každoročně narůstala v</w:t>
      </w:r>
      <w:r w:rsidR="00CF2351" w:rsidRPr="00B07D79">
        <w:rPr>
          <w:rFonts w:asciiTheme="minorHAnsi" w:hAnsiTheme="minorHAnsi" w:cs="Arial"/>
        </w:rPr>
        <w:t> </w:t>
      </w:r>
      <w:r w:rsidRPr="00B07D79">
        <w:rPr>
          <w:rFonts w:asciiTheme="minorHAnsi" w:hAnsiTheme="minorHAnsi" w:cs="Arial"/>
        </w:rPr>
        <w:t>průměru o</w:t>
      </w:r>
      <w:r w:rsidR="00CF2351" w:rsidRPr="00B07D79">
        <w:rPr>
          <w:rFonts w:asciiTheme="minorHAnsi" w:hAnsiTheme="minorHAnsi" w:cs="Arial"/>
        </w:rPr>
        <w:t> </w:t>
      </w:r>
      <w:r w:rsidRPr="00B07D79">
        <w:rPr>
          <w:rFonts w:asciiTheme="minorHAnsi" w:hAnsiTheme="minorHAnsi" w:cs="Arial"/>
        </w:rPr>
        <w:t>9,2 PJ/rok. To je v</w:t>
      </w:r>
      <w:r w:rsidR="00CF2351" w:rsidRPr="00B07D79">
        <w:rPr>
          <w:rFonts w:asciiTheme="minorHAnsi" w:hAnsiTheme="minorHAnsi" w:cs="Arial"/>
        </w:rPr>
        <w:t> </w:t>
      </w:r>
      <w:r w:rsidRPr="00B07D79">
        <w:rPr>
          <w:rFonts w:asciiTheme="minorHAnsi" w:hAnsiTheme="minorHAnsi" w:cs="Arial"/>
        </w:rPr>
        <w:t xml:space="preserve">ostrém kontrastu se závazkem ČR, který přijala vláda ČR dne 13. </w:t>
      </w:r>
      <w:r w:rsidR="00F918EB" w:rsidRPr="00B07D79">
        <w:rPr>
          <w:rFonts w:asciiTheme="minorHAnsi" w:hAnsiTheme="minorHAnsi" w:cs="Arial"/>
        </w:rPr>
        <w:t>ledna</w:t>
      </w:r>
      <w:r w:rsidRPr="00B07D79">
        <w:rPr>
          <w:rFonts w:asciiTheme="minorHAnsi" w:hAnsiTheme="minorHAnsi" w:cs="Arial"/>
        </w:rPr>
        <w:t xml:space="preserve"> 2020 ve svém usnesení č. 31, kterým schválila Vnitrostátní plán v</w:t>
      </w:r>
      <w:r w:rsidR="00CF2351" w:rsidRPr="00B07D79">
        <w:rPr>
          <w:rFonts w:asciiTheme="minorHAnsi" w:hAnsiTheme="minorHAnsi" w:cs="Arial"/>
        </w:rPr>
        <w:t> </w:t>
      </w:r>
      <w:r w:rsidRPr="00B07D79">
        <w:rPr>
          <w:rFonts w:asciiTheme="minorHAnsi" w:hAnsiTheme="minorHAnsi" w:cs="Arial"/>
        </w:rPr>
        <w:t>oblasti energetiky a</w:t>
      </w:r>
      <w:r w:rsidR="00CF2351" w:rsidRPr="00B07D79">
        <w:rPr>
          <w:rFonts w:asciiTheme="minorHAnsi" w:hAnsiTheme="minorHAnsi" w:cs="Arial"/>
        </w:rPr>
        <w:t> </w:t>
      </w:r>
      <w:r w:rsidRPr="00B07D79">
        <w:rPr>
          <w:rFonts w:asciiTheme="minorHAnsi" w:hAnsiTheme="minorHAnsi" w:cs="Arial"/>
        </w:rPr>
        <w:t>klimatu. Ten obsahuje závazný úkol snižovat novými úsporami energie (zvyšováním energetické účinnosti) konečnou spotřebu energie každoročně o</w:t>
      </w:r>
      <w:r w:rsidR="00CF2351" w:rsidRPr="00B07D79">
        <w:rPr>
          <w:rFonts w:asciiTheme="minorHAnsi" w:hAnsiTheme="minorHAnsi" w:cs="Arial"/>
        </w:rPr>
        <w:t> </w:t>
      </w:r>
      <w:r w:rsidRPr="00B07D79">
        <w:rPr>
          <w:rFonts w:asciiTheme="minorHAnsi" w:hAnsiTheme="minorHAnsi" w:cs="Arial"/>
        </w:rPr>
        <w:t>8,4 PJ/rok.</w:t>
      </w:r>
    </w:p>
    <w:p w14:paraId="7478FCFA" w14:textId="771F486A"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Nevhodná je také struktura energií pro dopravu s</w:t>
      </w:r>
      <w:r w:rsidR="00CF2351" w:rsidRPr="00B07D79">
        <w:rPr>
          <w:rFonts w:asciiTheme="minorHAnsi" w:hAnsiTheme="minorHAnsi" w:cs="Arial"/>
        </w:rPr>
        <w:t> </w:t>
      </w:r>
      <w:r w:rsidRPr="00B07D79">
        <w:rPr>
          <w:rFonts w:asciiTheme="minorHAnsi" w:hAnsiTheme="minorHAnsi" w:cs="Arial"/>
        </w:rPr>
        <w:t>převažující rolí fosilních paliv (ta v</w:t>
      </w:r>
      <w:r w:rsidR="00CF2351" w:rsidRPr="00B07D79">
        <w:rPr>
          <w:rFonts w:asciiTheme="minorHAnsi" w:hAnsiTheme="minorHAnsi" w:cs="Arial"/>
        </w:rPr>
        <w:t> </w:t>
      </w:r>
      <w:r w:rsidRPr="00B07D79">
        <w:rPr>
          <w:rFonts w:asciiTheme="minorHAnsi" w:hAnsiTheme="minorHAnsi" w:cs="Arial"/>
        </w:rPr>
        <w:t>ČR tvoří 93 % z</w:t>
      </w:r>
      <w:r w:rsidR="00CF2351" w:rsidRPr="00B07D79">
        <w:rPr>
          <w:rFonts w:asciiTheme="minorHAnsi" w:hAnsiTheme="minorHAnsi" w:cs="Arial"/>
        </w:rPr>
        <w:t> </w:t>
      </w:r>
      <w:r w:rsidRPr="00B07D79">
        <w:rPr>
          <w:rFonts w:asciiTheme="minorHAnsi" w:hAnsiTheme="minorHAnsi" w:cs="Arial"/>
        </w:rPr>
        <w:t>celkové konečné spotřeby energie pro dopravu), což vede k</w:t>
      </w:r>
      <w:r w:rsidR="00CF2351" w:rsidRPr="00B07D79">
        <w:rPr>
          <w:rFonts w:asciiTheme="minorHAnsi" w:hAnsiTheme="minorHAnsi" w:cs="Arial"/>
        </w:rPr>
        <w:t> </w:t>
      </w:r>
      <w:r w:rsidRPr="00B07D79">
        <w:rPr>
          <w:rFonts w:asciiTheme="minorHAnsi" w:hAnsiTheme="minorHAnsi" w:cs="Arial"/>
        </w:rPr>
        <w:t>tomu, že produkce oxidu uhličitého v</w:t>
      </w:r>
      <w:r w:rsidR="00CF2351" w:rsidRPr="00B07D79">
        <w:rPr>
          <w:rFonts w:asciiTheme="minorHAnsi" w:hAnsiTheme="minorHAnsi" w:cs="Arial"/>
        </w:rPr>
        <w:t> </w:t>
      </w:r>
      <w:r w:rsidRPr="00B07D79">
        <w:rPr>
          <w:rFonts w:asciiTheme="minorHAnsi" w:hAnsiTheme="minorHAnsi" w:cs="Arial"/>
        </w:rPr>
        <w:t xml:space="preserve">dopravě (aktuálně 21 </w:t>
      </w:r>
      <w:proofErr w:type="spellStart"/>
      <w:r w:rsidRPr="00B07D79">
        <w:rPr>
          <w:rFonts w:asciiTheme="minorHAnsi" w:hAnsiTheme="minorHAnsi" w:cs="Arial"/>
        </w:rPr>
        <w:t>Mt</w:t>
      </w:r>
      <w:proofErr w:type="spellEnd"/>
      <w:r w:rsidRPr="00B07D79">
        <w:rPr>
          <w:rFonts w:asciiTheme="minorHAnsi" w:hAnsiTheme="minorHAnsi" w:cs="Arial"/>
        </w:rPr>
        <w:t xml:space="preserve"> CO</w:t>
      </w:r>
      <w:r w:rsidRPr="00B07D79">
        <w:rPr>
          <w:rFonts w:asciiTheme="minorHAnsi" w:hAnsiTheme="minorHAnsi" w:cs="Arial"/>
          <w:vertAlign w:val="subscript"/>
        </w:rPr>
        <w:t>2</w:t>
      </w:r>
      <w:r w:rsidRPr="00B07D79">
        <w:rPr>
          <w:rFonts w:asciiTheme="minorHAnsi" w:hAnsiTheme="minorHAnsi" w:cs="Arial"/>
        </w:rPr>
        <w:t>/rok) již více než dvojnásobně překonala produkci oxidu uhličitého v</w:t>
      </w:r>
      <w:r w:rsidR="00CF2351" w:rsidRPr="00B07D79">
        <w:rPr>
          <w:rFonts w:asciiTheme="minorHAnsi" w:hAnsiTheme="minorHAnsi" w:cs="Arial"/>
        </w:rPr>
        <w:t> </w:t>
      </w:r>
      <w:r w:rsidRPr="00B07D79">
        <w:rPr>
          <w:rFonts w:asciiTheme="minorHAnsi" w:hAnsiTheme="minorHAnsi" w:cs="Arial"/>
        </w:rPr>
        <w:t xml:space="preserve">průmyslu (cca 9 </w:t>
      </w:r>
      <w:proofErr w:type="spellStart"/>
      <w:r w:rsidRPr="00B07D79">
        <w:rPr>
          <w:rFonts w:asciiTheme="minorHAnsi" w:hAnsiTheme="minorHAnsi" w:cs="Arial"/>
        </w:rPr>
        <w:t>Mt</w:t>
      </w:r>
      <w:proofErr w:type="spellEnd"/>
      <w:r w:rsidRPr="00B07D79">
        <w:rPr>
          <w:rFonts w:asciiTheme="minorHAnsi" w:hAnsiTheme="minorHAnsi" w:cs="Arial"/>
        </w:rPr>
        <w:t xml:space="preserve"> CO</w:t>
      </w:r>
      <w:r w:rsidRPr="00B07D79">
        <w:rPr>
          <w:rFonts w:asciiTheme="minorHAnsi" w:hAnsiTheme="minorHAnsi" w:cs="Arial"/>
          <w:vertAlign w:val="subscript"/>
        </w:rPr>
        <w:t>2</w:t>
      </w:r>
      <w:r w:rsidRPr="00B07D79">
        <w:rPr>
          <w:rFonts w:asciiTheme="minorHAnsi" w:hAnsiTheme="minorHAnsi" w:cs="Arial"/>
        </w:rPr>
        <w:t>/rok) a</w:t>
      </w:r>
      <w:r w:rsidR="00CF2351" w:rsidRPr="00B07D79">
        <w:rPr>
          <w:rFonts w:asciiTheme="minorHAnsi" w:hAnsiTheme="minorHAnsi" w:cs="Arial"/>
        </w:rPr>
        <w:t> </w:t>
      </w:r>
      <w:r w:rsidRPr="00B07D79">
        <w:rPr>
          <w:rFonts w:asciiTheme="minorHAnsi" w:hAnsiTheme="minorHAnsi" w:cs="Arial"/>
        </w:rPr>
        <w:t>převyšuje i</w:t>
      </w:r>
      <w:r w:rsidR="00CF2351" w:rsidRPr="00B07D79">
        <w:rPr>
          <w:rFonts w:asciiTheme="minorHAnsi" w:hAnsiTheme="minorHAnsi" w:cs="Arial"/>
        </w:rPr>
        <w:t> </w:t>
      </w:r>
      <w:r w:rsidRPr="00B07D79">
        <w:rPr>
          <w:rFonts w:asciiTheme="minorHAnsi" w:hAnsiTheme="minorHAnsi" w:cs="Arial"/>
        </w:rPr>
        <w:t>produkci oxidu uhličitého v</w:t>
      </w:r>
      <w:r w:rsidR="00CF2351" w:rsidRPr="00B07D79">
        <w:rPr>
          <w:rFonts w:asciiTheme="minorHAnsi" w:hAnsiTheme="minorHAnsi" w:cs="Arial"/>
        </w:rPr>
        <w:t> </w:t>
      </w:r>
      <w:r w:rsidRPr="00B07D79">
        <w:rPr>
          <w:rFonts w:asciiTheme="minorHAnsi" w:hAnsiTheme="minorHAnsi" w:cs="Arial"/>
        </w:rPr>
        <w:t xml:space="preserve">domácnostech (cca 14 </w:t>
      </w:r>
      <w:proofErr w:type="spellStart"/>
      <w:r w:rsidRPr="00B07D79">
        <w:rPr>
          <w:rFonts w:asciiTheme="minorHAnsi" w:hAnsiTheme="minorHAnsi" w:cs="Arial"/>
        </w:rPr>
        <w:t>Mt</w:t>
      </w:r>
      <w:proofErr w:type="spellEnd"/>
      <w:r w:rsidRPr="00B07D79">
        <w:rPr>
          <w:rFonts w:asciiTheme="minorHAnsi" w:hAnsiTheme="minorHAnsi" w:cs="Arial"/>
        </w:rPr>
        <w:t xml:space="preserve"> CO</w:t>
      </w:r>
      <w:r w:rsidRPr="00B07D79">
        <w:rPr>
          <w:rFonts w:asciiTheme="minorHAnsi" w:hAnsiTheme="minorHAnsi" w:cs="Arial"/>
          <w:vertAlign w:val="subscript"/>
        </w:rPr>
        <w:t>2</w:t>
      </w:r>
      <w:r w:rsidRPr="00B07D79">
        <w:rPr>
          <w:rFonts w:asciiTheme="minorHAnsi" w:hAnsiTheme="minorHAnsi" w:cs="Arial"/>
        </w:rPr>
        <w:t>/rok) a</w:t>
      </w:r>
      <w:r w:rsidR="00CF2351" w:rsidRPr="00B07D79">
        <w:rPr>
          <w:rFonts w:asciiTheme="minorHAnsi" w:hAnsiTheme="minorHAnsi" w:cs="Arial"/>
        </w:rPr>
        <w:t> </w:t>
      </w:r>
      <w:r w:rsidRPr="00B07D79">
        <w:rPr>
          <w:rFonts w:asciiTheme="minorHAnsi" w:hAnsiTheme="minorHAnsi" w:cs="Arial"/>
        </w:rPr>
        <w:t>trvale roste o</w:t>
      </w:r>
      <w:r w:rsidR="00CF2351" w:rsidRPr="00B07D79">
        <w:rPr>
          <w:rFonts w:asciiTheme="minorHAnsi" w:hAnsiTheme="minorHAnsi" w:cs="Arial"/>
        </w:rPr>
        <w:t> </w:t>
      </w:r>
      <w:r w:rsidRPr="00B07D79">
        <w:rPr>
          <w:rFonts w:asciiTheme="minorHAnsi" w:hAnsiTheme="minorHAnsi" w:cs="Arial"/>
        </w:rPr>
        <w:t xml:space="preserve">0,6 </w:t>
      </w:r>
      <w:proofErr w:type="spellStart"/>
      <w:r w:rsidRPr="00B07D79">
        <w:rPr>
          <w:rFonts w:asciiTheme="minorHAnsi" w:hAnsiTheme="minorHAnsi" w:cs="Arial"/>
        </w:rPr>
        <w:t>Mt</w:t>
      </w:r>
      <w:proofErr w:type="spellEnd"/>
      <w:r w:rsidRPr="00B07D79">
        <w:rPr>
          <w:rFonts w:asciiTheme="minorHAnsi" w:hAnsiTheme="minorHAnsi" w:cs="Arial"/>
        </w:rPr>
        <w:t xml:space="preserve"> CO</w:t>
      </w:r>
      <w:r w:rsidRPr="00B07D79">
        <w:rPr>
          <w:rFonts w:asciiTheme="minorHAnsi" w:hAnsiTheme="minorHAnsi" w:cs="Arial"/>
          <w:vertAlign w:val="subscript"/>
        </w:rPr>
        <w:t>2</w:t>
      </w:r>
      <w:r w:rsidRPr="00B07D79">
        <w:rPr>
          <w:rFonts w:asciiTheme="minorHAnsi" w:hAnsiTheme="minorHAnsi" w:cs="Arial"/>
        </w:rPr>
        <w:t>/rok. Toto je v</w:t>
      </w:r>
      <w:r w:rsidR="00CF2351" w:rsidRPr="00B07D79">
        <w:rPr>
          <w:rFonts w:asciiTheme="minorHAnsi" w:hAnsiTheme="minorHAnsi" w:cs="Arial"/>
        </w:rPr>
        <w:t> </w:t>
      </w:r>
      <w:r w:rsidRPr="00B07D79">
        <w:rPr>
          <w:rFonts w:asciiTheme="minorHAnsi" w:hAnsiTheme="minorHAnsi" w:cs="Arial"/>
        </w:rPr>
        <w:t xml:space="preserve">kontrastu se závazkem ČR, který přijala vláda ČR dne 13. </w:t>
      </w:r>
      <w:r w:rsidR="00F918EB" w:rsidRPr="00B07D79">
        <w:rPr>
          <w:rFonts w:asciiTheme="minorHAnsi" w:hAnsiTheme="minorHAnsi" w:cs="Arial"/>
        </w:rPr>
        <w:t>ledna</w:t>
      </w:r>
      <w:r w:rsidRPr="00B07D79">
        <w:rPr>
          <w:rFonts w:asciiTheme="minorHAnsi" w:hAnsiTheme="minorHAnsi" w:cs="Arial"/>
        </w:rPr>
        <w:t xml:space="preserve"> 2020 ve svém usnesení č. 31, kterým schválila Vnitrostátní plán v</w:t>
      </w:r>
      <w:r w:rsidR="00CF2351" w:rsidRPr="00B07D79">
        <w:rPr>
          <w:rFonts w:asciiTheme="minorHAnsi" w:hAnsiTheme="minorHAnsi" w:cs="Arial"/>
        </w:rPr>
        <w:t> </w:t>
      </w:r>
      <w:r w:rsidRPr="00B07D79">
        <w:rPr>
          <w:rFonts w:asciiTheme="minorHAnsi" w:hAnsiTheme="minorHAnsi" w:cs="Arial"/>
        </w:rPr>
        <w:t>oblasti energetiky a</w:t>
      </w:r>
      <w:r w:rsidR="00CF2351" w:rsidRPr="00B07D79">
        <w:rPr>
          <w:rFonts w:asciiTheme="minorHAnsi" w:hAnsiTheme="minorHAnsi" w:cs="Arial"/>
        </w:rPr>
        <w:t> </w:t>
      </w:r>
      <w:r w:rsidRPr="00B07D79">
        <w:rPr>
          <w:rFonts w:asciiTheme="minorHAnsi" w:hAnsiTheme="minorHAnsi" w:cs="Arial"/>
        </w:rPr>
        <w:t>klimatu. Ten obsahuje úkol snižovat produkci oxidu uhličitého každoročně o</w:t>
      </w:r>
      <w:r w:rsidR="00CF2351" w:rsidRPr="00B07D79">
        <w:rPr>
          <w:rFonts w:asciiTheme="minorHAnsi" w:hAnsiTheme="minorHAnsi" w:cs="Arial"/>
        </w:rPr>
        <w:t> </w:t>
      </w:r>
      <w:r w:rsidRPr="00B07D79">
        <w:rPr>
          <w:rFonts w:asciiTheme="minorHAnsi" w:hAnsiTheme="minorHAnsi" w:cs="Arial"/>
        </w:rPr>
        <w:t xml:space="preserve">1,2 </w:t>
      </w:r>
      <w:proofErr w:type="spellStart"/>
      <w:r w:rsidRPr="00B07D79">
        <w:rPr>
          <w:rFonts w:asciiTheme="minorHAnsi" w:hAnsiTheme="minorHAnsi" w:cs="Arial"/>
        </w:rPr>
        <w:t>Mt</w:t>
      </w:r>
      <w:proofErr w:type="spellEnd"/>
      <w:r w:rsidRPr="00B07D79">
        <w:rPr>
          <w:rFonts w:asciiTheme="minorHAnsi" w:hAnsiTheme="minorHAnsi" w:cs="Arial"/>
        </w:rPr>
        <w:t xml:space="preserve"> CO</w:t>
      </w:r>
      <w:r w:rsidRPr="00B07D79">
        <w:rPr>
          <w:rFonts w:asciiTheme="minorHAnsi" w:hAnsiTheme="minorHAnsi" w:cs="Arial"/>
          <w:vertAlign w:val="subscript"/>
        </w:rPr>
        <w:t>2</w:t>
      </w:r>
      <w:r w:rsidRPr="00B07D79">
        <w:rPr>
          <w:rFonts w:asciiTheme="minorHAnsi" w:hAnsiTheme="minorHAnsi" w:cs="Arial"/>
        </w:rPr>
        <w:t>/rok.</w:t>
      </w:r>
    </w:p>
    <w:p w14:paraId="608DED24" w14:textId="3E060E14"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Nevhodná je také struktura energií pro dopravu s</w:t>
      </w:r>
      <w:r w:rsidR="00CF2351" w:rsidRPr="00B07D79">
        <w:rPr>
          <w:rFonts w:asciiTheme="minorHAnsi" w:hAnsiTheme="minorHAnsi" w:cs="Arial"/>
        </w:rPr>
        <w:t> </w:t>
      </w:r>
      <w:r w:rsidRPr="00B07D79">
        <w:rPr>
          <w:rFonts w:asciiTheme="minorHAnsi" w:hAnsiTheme="minorHAnsi" w:cs="Arial"/>
        </w:rPr>
        <w:t>převažující rolí uhlovodíkových paliv (ta v</w:t>
      </w:r>
      <w:r w:rsidR="00CF2351" w:rsidRPr="00B07D79">
        <w:rPr>
          <w:rFonts w:asciiTheme="minorHAnsi" w:hAnsiTheme="minorHAnsi" w:cs="Arial"/>
        </w:rPr>
        <w:t> </w:t>
      </w:r>
      <w:r w:rsidRPr="00B07D79">
        <w:rPr>
          <w:rFonts w:asciiTheme="minorHAnsi" w:hAnsiTheme="minorHAnsi" w:cs="Arial"/>
        </w:rPr>
        <w:t>ČR tvoří 98 % z</w:t>
      </w:r>
      <w:r w:rsidR="00CF2351" w:rsidRPr="00B07D79">
        <w:rPr>
          <w:rFonts w:asciiTheme="minorHAnsi" w:hAnsiTheme="minorHAnsi" w:cs="Arial"/>
        </w:rPr>
        <w:t> </w:t>
      </w:r>
      <w:r w:rsidRPr="00B07D79">
        <w:rPr>
          <w:rFonts w:asciiTheme="minorHAnsi" w:hAnsiTheme="minorHAnsi" w:cs="Arial"/>
        </w:rPr>
        <w:t>celkové konečné spotřeby energie pro dopravu) vede k</w:t>
      </w:r>
      <w:r w:rsidR="00CF2351" w:rsidRPr="00B07D79">
        <w:rPr>
          <w:rFonts w:asciiTheme="minorHAnsi" w:hAnsiTheme="minorHAnsi" w:cs="Arial"/>
        </w:rPr>
        <w:t> </w:t>
      </w:r>
      <w:r w:rsidRPr="00B07D79">
        <w:rPr>
          <w:rFonts w:asciiTheme="minorHAnsi" w:hAnsiTheme="minorHAnsi" w:cs="Arial"/>
        </w:rPr>
        <w:t xml:space="preserve">silným dopravou produkovaným emisím zdraví škodlivých látek (oxidy dusíku, jemné prachové částice, </w:t>
      </w:r>
      <w:proofErr w:type="spellStart"/>
      <w:r w:rsidRPr="00B07D79">
        <w:rPr>
          <w:rFonts w:asciiTheme="minorHAnsi" w:hAnsiTheme="minorHAnsi" w:cs="Arial"/>
        </w:rPr>
        <w:t>polyaromatické</w:t>
      </w:r>
      <w:proofErr w:type="spellEnd"/>
      <w:r w:rsidRPr="00B07D79">
        <w:rPr>
          <w:rFonts w:asciiTheme="minorHAnsi" w:hAnsiTheme="minorHAnsi" w:cs="Arial"/>
        </w:rPr>
        <w:t xml:space="preserve"> uhlovodíky a</w:t>
      </w:r>
      <w:r w:rsidR="00CF2351" w:rsidRPr="00B07D79">
        <w:rPr>
          <w:rFonts w:asciiTheme="minorHAnsi" w:hAnsiTheme="minorHAnsi" w:cs="Arial"/>
        </w:rPr>
        <w:t> </w:t>
      </w:r>
      <w:r w:rsidRPr="00B07D79">
        <w:rPr>
          <w:rFonts w:asciiTheme="minorHAnsi" w:hAnsiTheme="minorHAnsi" w:cs="Arial"/>
        </w:rPr>
        <w:t>další). Více než 70 % obyvatelstva ČR žije ve městech, další obyvatelé do měst denně dojíždějí za prací, vzděláním a</w:t>
      </w:r>
      <w:r w:rsidR="00CF2351" w:rsidRPr="00B07D79">
        <w:rPr>
          <w:rFonts w:asciiTheme="minorHAnsi" w:hAnsiTheme="minorHAnsi" w:cs="Arial"/>
        </w:rPr>
        <w:t> </w:t>
      </w:r>
      <w:r w:rsidRPr="00B07D79">
        <w:rPr>
          <w:rFonts w:asciiTheme="minorHAnsi" w:hAnsiTheme="minorHAnsi" w:cs="Arial"/>
        </w:rPr>
        <w:t>dalšími aktivitami. Přitom ve většině měst ČR je doprava dominantním (až 90 %) znečišťovatelem ovzduší, neboť emise produkované dopravou vznikají v</w:t>
      </w:r>
      <w:r w:rsidR="00CF2351" w:rsidRPr="00B07D79">
        <w:rPr>
          <w:rFonts w:asciiTheme="minorHAnsi" w:hAnsiTheme="minorHAnsi" w:cs="Arial"/>
        </w:rPr>
        <w:t> </w:t>
      </w:r>
      <w:r w:rsidRPr="00B07D79">
        <w:rPr>
          <w:rFonts w:asciiTheme="minorHAnsi" w:hAnsiTheme="minorHAnsi" w:cs="Arial"/>
        </w:rPr>
        <w:t>ulicích v</w:t>
      </w:r>
      <w:r w:rsidR="00CF2351" w:rsidRPr="00B07D79">
        <w:rPr>
          <w:rFonts w:asciiTheme="minorHAnsi" w:hAnsiTheme="minorHAnsi" w:cs="Arial"/>
        </w:rPr>
        <w:t> </w:t>
      </w:r>
      <w:r w:rsidRPr="00B07D79">
        <w:rPr>
          <w:rFonts w:asciiTheme="minorHAnsi" w:hAnsiTheme="minorHAnsi" w:cs="Arial"/>
        </w:rPr>
        <w:t>těsné blízkosti lidských příbytků. Podle analýz MŽP ČR způsobuje znečistění ovzduší přibližně desetkrát více předčasných úmrtí než dopravní nehody.</w:t>
      </w:r>
    </w:p>
    <w:p w14:paraId="3FCF74B1" w14:textId="062A11D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Převažující individuální vlastnictví dopravních prostředků vede k</w:t>
      </w:r>
      <w:r w:rsidR="00CF2351" w:rsidRPr="00B07D79">
        <w:rPr>
          <w:rFonts w:asciiTheme="minorHAnsi" w:hAnsiTheme="minorHAnsi" w:cs="Arial"/>
        </w:rPr>
        <w:t> </w:t>
      </w:r>
      <w:r w:rsidRPr="00B07D79">
        <w:rPr>
          <w:rFonts w:asciiTheme="minorHAnsi" w:hAnsiTheme="minorHAnsi" w:cs="Arial"/>
        </w:rPr>
        <w:t>velmi nízkému využití do nich investovaného kapitálu</w:t>
      </w:r>
      <w:r w:rsidRPr="00B07D79">
        <w:rPr>
          <w:rStyle w:val="Znakapoznpodarou"/>
          <w:rFonts w:asciiTheme="minorHAnsi" w:hAnsiTheme="minorHAnsi" w:cs="Arial"/>
        </w:rPr>
        <w:footnoteReference w:id="9"/>
      </w:r>
      <w:r w:rsidRPr="00B07D79">
        <w:rPr>
          <w:rFonts w:asciiTheme="minorHAnsi" w:hAnsiTheme="minorHAnsi" w:cs="Arial"/>
        </w:rPr>
        <w:t xml:space="preserve"> a</w:t>
      </w:r>
      <w:r w:rsidR="00CF2351" w:rsidRPr="00B07D79">
        <w:rPr>
          <w:rFonts w:asciiTheme="minorHAnsi" w:hAnsiTheme="minorHAnsi" w:cs="Arial"/>
        </w:rPr>
        <w:t> </w:t>
      </w:r>
      <w:r w:rsidRPr="00B07D79">
        <w:rPr>
          <w:rFonts w:asciiTheme="minorHAnsi" w:hAnsiTheme="minorHAnsi" w:cs="Arial"/>
        </w:rPr>
        <w:t>vede k</w:t>
      </w:r>
      <w:r w:rsidR="00CF2351" w:rsidRPr="00B07D79">
        <w:rPr>
          <w:rFonts w:asciiTheme="minorHAnsi" w:hAnsiTheme="minorHAnsi" w:cs="Arial"/>
        </w:rPr>
        <w:t> </w:t>
      </w:r>
      <w:r w:rsidRPr="00B07D79">
        <w:rPr>
          <w:rFonts w:asciiTheme="minorHAnsi" w:hAnsiTheme="minorHAnsi" w:cs="Arial"/>
        </w:rPr>
        <w:t>velkým nárokům na plochy pro parkování</w:t>
      </w:r>
      <w:r w:rsidR="00F918EB" w:rsidRPr="00B07D79">
        <w:rPr>
          <w:rFonts w:asciiTheme="minorHAnsi" w:hAnsiTheme="minorHAnsi" w:cs="Arial"/>
        </w:rPr>
        <w:t>,</w:t>
      </w:r>
      <w:r w:rsidRPr="00B07D79">
        <w:rPr>
          <w:rStyle w:val="Znakapoznpodarou"/>
          <w:rFonts w:asciiTheme="minorHAnsi" w:hAnsiTheme="minorHAnsi" w:cs="Arial"/>
        </w:rPr>
        <w:footnoteReference w:id="10"/>
      </w:r>
      <w:r w:rsidRPr="00B07D79">
        <w:rPr>
          <w:rFonts w:asciiTheme="minorHAnsi" w:hAnsiTheme="minorHAnsi" w:cs="Arial"/>
        </w:rPr>
        <w:t xml:space="preserve"> což zabírá cenné pozemky ve městech, které mají potenciál mnohem efektivnějšího využití.</w:t>
      </w:r>
    </w:p>
    <w:p w14:paraId="14BC7263" w14:textId="2D2CD266"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Zásadním tématem je proto dekarbonizace dopravy, tedy odstranění závislosti dopravy na spotřebě uhlovodíkových paliv, její převedení na bezemisní a</w:t>
      </w:r>
      <w:r w:rsidR="00CF2351" w:rsidRPr="00B07D79">
        <w:rPr>
          <w:rFonts w:asciiTheme="minorHAnsi" w:hAnsiTheme="minorHAnsi" w:cs="Arial"/>
        </w:rPr>
        <w:t> </w:t>
      </w:r>
      <w:r w:rsidRPr="00B07D79">
        <w:rPr>
          <w:rFonts w:asciiTheme="minorHAnsi" w:hAnsiTheme="minorHAnsi" w:cs="Arial"/>
        </w:rPr>
        <w:t>nízkoemisní. V</w:t>
      </w:r>
      <w:r w:rsidR="00CF2351" w:rsidRPr="00B07D79">
        <w:rPr>
          <w:rFonts w:asciiTheme="minorHAnsi" w:hAnsiTheme="minorHAnsi" w:cs="Arial"/>
        </w:rPr>
        <w:t> </w:t>
      </w:r>
      <w:r w:rsidRPr="00B07D79">
        <w:rPr>
          <w:rFonts w:asciiTheme="minorHAnsi" w:hAnsiTheme="minorHAnsi" w:cs="Arial"/>
        </w:rPr>
        <w:t>současné době vědecké poznatky ukazují, že globální změny klimatu se již odehrávají, a</w:t>
      </w:r>
      <w:r w:rsidR="00CF2351" w:rsidRPr="00B07D79">
        <w:rPr>
          <w:rFonts w:asciiTheme="minorHAnsi" w:hAnsiTheme="minorHAnsi" w:cs="Arial"/>
        </w:rPr>
        <w:t> </w:t>
      </w:r>
      <w:r w:rsidRPr="00B07D79">
        <w:rPr>
          <w:rFonts w:asciiTheme="minorHAnsi" w:hAnsiTheme="minorHAnsi" w:cs="Arial"/>
        </w:rPr>
        <w:t>to dokonce rychlejším tempem, než předpovídaly příslušné modely. Globální změny klimatu mají úzkou vazbu na globální změny v</w:t>
      </w:r>
      <w:r w:rsidR="00CF2351" w:rsidRPr="00B07D79">
        <w:rPr>
          <w:rFonts w:asciiTheme="minorHAnsi" w:hAnsiTheme="minorHAnsi" w:cs="Arial"/>
        </w:rPr>
        <w:t> </w:t>
      </w:r>
      <w:r w:rsidRPr="00B07D79">
        <w:rPr>
          <w:rFonts w:asciiTheme="minorHAnsi" w:hAnsiTheme="minorHAnsi" w:cs="Arial"/>
        </w:rPr>
        <w:t>chemismu planety, hydrologii a</w:t>
      </w:r>
      <w:r w:rsidR="00CF2351" w:rsidRPr="00B07D79">
        <w:rPr>
          <w:rFonts w:asciiTheme="minorHAnsi" w:hAnsiTheme="minorHAnsi" w:cs="Arial"/>
        </w:rPr>
        <w:t> </w:t>
      </w:r>
      <w:r w:rsidRPr="00B07D79">
        <w:rPr>
          <w:rFonts w:asciiTheme="minorHAnsi" w:hAnsiTheme="minorHAnsi" w:cs="Arial"/>
        </w:rPr>
        <w:t>schopnosti produkce potravin. Nejdůležitějšími oblastmi, kterých se změny týkají, jsou dostupnost energií, potravin a</w:t>
      </w:r>
      <w:r w:rsidR="00CF2351" w:rsidRPr="00B07D79">
        <w:rPr>
          <w:rFonts w:asciiTheme="minorHAnsi" w:hAnsiTheme="minorHAnsi" w:cs="Arial"/>
        </w:rPr>
        <w:t> </w:t>
      </w:r>
      <w:r w:rsidRPr="00B07D79">
        <w:rPr>
          <w:rFonts w:asciiTheme="minorHAnsi" w:hAnsiTheme="minorHAnsi" w:cs="Arial"/>
        </w:rPr>
        <w:t>kvalitní pitné vody. Na první pohled se může zdát, že se jedná o</w:t>
      </w:r>
      <w:r w:rsidR="00CF2351" w:rsidRPr="00B07D79">
        <w:rPr>
          <w:rFonts w:asciiTheme="minorHAnsi" w:hAnsiTheme="minorHAnsi" w:cs="Arial"/>
        </w:rPr>
        <w:t> </w:t>
      </w:r>
      <w:r w:rsidRPr="00B07D79">
        <w:rPr>
          <w:rFonts w:asciiTheme="minorHAnsi" w:hAnsiTheme="minorHAnsi" w:cs="Arial"/>
        </w:rPr>
        <w:t>oblasti, které se týkají sektoru dopravy jen okrajově, opak je však pravdou. V</w:t>
      </w:r>
      <w:r w:rsidR="00CF2351" w:rsidRPr="00B07D79">
        <w:rPr>
          <w:rFonts w:asciiTheme="minorHAnsi" w:hAnsiTheme="minorHAnsi" w:cs="Arial"/>
        </w:rPr>
        <w:t> </w:t>
      </w:r>
      <w:r w:rsidRPr="00B07D79">
        <w:rPr>
          <w:rFonts w:asciiTheme="minorHAnsi" w:hAnsiTheme="minorHAnsi" w:cs="Arial"/>
        </w:rPr>
        <w:t xml:space="preserve">nově nadcházející situaci je proto </w:t>
      </w:r>
      <w:r w:rsidRPr="00B07D79">
        <w:rPr>
          <w:rFonts w:asciiTheme="minorHAnsi" w:hAnsiTheme="minorHAnsi" w:cs="Arial"/>
        </w:rPr>
        <w:lastRenderedPageBreak/>
        <w:t>nutné nastavit dopravní systém tak, aby nepřispíval k</w:t>
      </w:r>
      <w:r w:rsidR="00CF2351" w:rsidRPr="00B07D79">
        <w:rPr>
          <w:rFonts w:asciiTheme="minorHAnsi" w:hAnsiTheme="minorHAnsi" w:cs="Arial"/>
        </w:rPr>
        <w:t> </w:t>
      </w:r>
      <w:r w:rsidRPr="00B07D79">
        <w:rPr>
          <w:rFonts w:asciiTheme="minorHAnsi" w:hAnsiTheme="minorHAnsi" w:cs="Arial"/>
        </w:rPr>
        <w:t>prohlubování uvedených klimatických změn (</w:t>
      </w:r>
      <w:proofErr w:type="spellStart"/>
      <w:r w:rsidRPr="00B07D79">
        <w:rPr>
          <w:rFonts w:asciiTheme="minorHAnsi" w:hAnsiTheme="minorHAnsi" w:cs="Arial"/>
        </w:rPr>
        <w:t>mitigace</w:t>
      </w:r>
      <w:proofErr w:type="spellEnd"/>
      <w:r w:rsidRPr="00B07D79">
        <w:rPr>
          <w:rFonts w:asciiTheme="minorHAnsi" w:hAnsiTheme="minorHAnsi" w:cs="Arial"/>
        </w:rPr>
        <w:t>), ale aby umožnil další vývoj ekonomiky v</w:t>
      </w:r>
      <w:r w:rsidR="00CF2351" w:rsidRPr="00B07D79">
        <w:rPr>
          <w:rFonts w:asciiTheme="minorHAnsi" w:hAnsiTheme="minorHAnsi" w:cs="Arial"/>
        </w:rPr>
        <w:t> </w:t>
      </w:r>
      <w:r w:rsidRPr="00B07D79">
        <w:rPr>
          <w:rFonts w:asciiTheme="minorHAnsi" w:hAnsiTheme="minorHAnsi" w:cs="Arial"/>
        </w:rPr>
        <w:t>udržitelném režimu a</w:t>
      </w:r>
      <w:r w:rsidR="00CF2351" w:rsidRPr="00B07D79">
        <w:rPr>
          <w:rFonts w:asciiTheme="minorHAnsi" w:hAnsiTheme="minorHAnsi" w:cs="Arial"/>
        </w:rPr>
        <w:t> </w:t>
      </w:r>
      <w:r w:rsidRPr="00B07D79">
        <w:rPr>
          <w:rFonts w:asciiTheme="minorHAnsi" w:hAnsiTheme="minorHAnsi" w:cs="Arial"/>
        </w:rPr>
        <w:t>s ohledem na setrvačnost zemského systému byl přizpůsoben novým podmínkám, které jsou již neodvratné (adaptace).</w:t>
      </w:r>
    </w:p>
    <w:p w14:paraId="1C7CE967" w14:textId="531E39CA"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Pro dopravní soustavu je proto důležité, aby byly důsledně vytvářeny podmínky pro využívání všech druhů dopravy tak, aby byly využity jejich ekonomické i</w:t>
      </w:r>
      <w:r w:rsidR="00CF2351" w:rsidRPr="00B07D79">
        <w:rPr>
          <w:rFonts w:asciiTheme="minorHAnsi" w:hAnsiTheme="minorHAnsi" w:cs="Arial"/>
        </w:rPr>
        <w:t> </w:t>
      </w:r>
      <w:r w:rsidRPr="00B07D79">
        <w:rPr>
          <w:rFonts w:asciiTheme="minorHAnsi" w:hAnsiTheme="minorHAnsi" w:cs="Arial"/>
        </w:rPr>
        <w:t>ekologické předpoklady a</w:t>
      </w:r>
      <w:r w:rsidR="00CF2351" w:rsidRPr="00B07D79">
        <w:rPr>
          <w:rFonts w:asciiTheme="minorHAnsi" w:hAnsiTheme="minorHAnsi" w:cs="Arial"/>
        </w:rPr>
        <w:t> </w:t>
      </w:r>
      <w:r w:rsidRPr="00B07D79">
        <w:rPr>
          <w:rFonts w:asciiTheme="minorHAnsi" w:hAnsiTheme="minorHAnsi" w:cs="Arial"/>
        </w:rPr>
        <w:t>snižovány jejich nedostatky. Nezbytným předpokladem pro fungování dopravního systému a</w:t>
      </w:r>
      <w:r w:rsidR="00CF2351" w:rsidRPr="00B07D79">
        <w:rPr>
          <w:rFonts w:asciiTheme="minorHAnsi" w:hAnsiTheme="minorHAnsi" w:cs="Arial"/>
        </w:rPr>
        <w:t> </w:t>
      </w:r>
      <w:r w:rsidRPr="00B07D79">
        <w:rPr>
          <w:rFonts w:asciiTheme="minorHAnsi" w:hAnsiTheme="minorHAnsi" w:cs="Arial"/>
        </w:rPr>
        <w:t>jeho efektivní provoz je dostatek a</w:t>
      </w:r>
      <w:r w:rsidR="00CF2351" w:rsidRPr="00B07D79">
        <w:rPr>
          <w:rFonts w:asciiTheme="minorHAnsi" w:hAnsiTheme="minorHAnsi" w:cs="Arial"/>
        </w:rPr>
        <w:t> </w:t>
      </w:r>
      <w:r w:rsidRPr="00B07D79">
        <w:rPr>
          <w:rFonts w:asciiTheme="minorHAnsi" w:hAnsiTheme="minorHAnsi" w:cs="Arial"/>
        </w:rPr>
        <w:t>kvalita informací pro řízení dopravy nebo pro organizaci přemísťování osob nebo věcí. Budoucí podoba dopravy není založena na konkurenci (pouhá schopnost překonat druhého), ale na kooperaci (schopnost spolupracovat) a</w:t>
      </w:r>
      <w:r w:rsidR="00CF2351" w:rsidRPr="00B07D79">
        <w:rPr>
          <w:rFonts w:asciiTheme="minorHAnsi" w:hAnsiTheme="minorHAnsi" w:cs="Arial"/>
        </w:rPr>
        <w:t> </w:t>
      </w:r>
      <w:r w:rsidRPr="00B07D79">
        <w:rPr>
          <w:rFonts w:asciiTheme="minorHAnsi" w:hAnsiTheme="minorHAnsi" w:cs="Arial"/>
        </w:rPr>
        <w:t>komplementárnosti (schopnost doplňovat se) jednotlivých druhů dopravy, a</w:t>
      </w:r>
      <w:r w:rsidR="00CF2351" w:rsidRPr="00B07D79">
        <w:rPr>
          <w:rFonts w:asciiTheme="minorHAnsi" w:hAnsiTheme="minorHAnsi" w:cs="Arial"/>
        </w:rPr>
        <w:t> </w:t>
      </w:r>
      <w:r w:rsidRPr="00B07D79">
        <w:rPr>
          <w:rFonts w:asciiTheme="minorHAnsi" w:hAnsiTheme="minorHAnsi" w:cs="Arial"/>
        </w:rPr>
        <w:t>to při zachování konkurenčního prostředí mezi podnikajícími subjekty. Budoucností je udržitelná multimodální mobilita. To vyžaduje specifický přístup v</w:t>
      </w:r>
      <w:r w:rsidR="00CF2351" w:rsidRPr="00B07D79">
        <w:rPr>
          <w:rFonts w:asciiTheme="minorHAnsi" w:hAnsiTheme="minorHAnsi" w:cs="Arial"/>
        </w:rPr>
        <w:t> </w:t>
      </w:r>
      <w:r w:rsidRPr="00B07D79">
        <w:rPr>
          <w:rFonts w:asciiTheme="minorHAnsi" w:hAnsiTheme="minorHAnsi" w:cs="Arial"/>
        </w:rPr>
        <w:t xml:space="preserve">jednotlivých segmentech dopravy. </w:t>
      </w:r>
    </w:p>
    <w:p w14:paraId="7F12D90C" w14:textId="6DB02A3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 xml:space="preserve">Z výše uvedeného vyplývá, že základním tématem čisté mobility je odstranění globálně působících emisí oxidu uhličitého, způsobujících nevratné klimatické změny, odstranění lokálně působících emisí zdraví škodlivých látek (oxidy dusíku NOx, jemné prachové částice PM, </w:t>
      </w:r>
      <w:proofErr w:type="spellStart"/>
      <w:r w:rsidRPr="00B07D79">
        <w:rPr>
          <w:rFonts w:asciiTheme="minorHAnsi" w:hAnsiTheme="minorHAnsi" w:cs="Arial"/>
        </w:rPr>
        <w:t>polyaromatické</w:t>
      </w:r>
      <w:proofErr w:type="spellEnd"/>
      <w:r w:rsidRPr="00B07D79">
        <w:rPr>
          <w:rFonts w:asciiTheme="minorHAnsi" w:hAnsiTheme="minorHAnsi" w:cs="Arial"/>
        </w:rPr>
        <w:t xml:space="preserve"> uhlovodíky PAH, těkavé organické látky VOC, atd.), zásadní snížení spotřeby energie, neboť dosud v</w:t>
      </w:r>
      <w:r w:rsidR="00CF2351" w:rsidRPr="00B07D79">
        <w:rPr>
          <w:rFonts w:asciiTheme="minorHAnsi" w:hAnsiTheme="minorHAnsi" w:cs="Arial"/>
        </w:rPr>
        <w:t> </w:t>
      </w:r>
      <w:r w:rsidRPr="00B07D79">
        <w:rPr>
          <w:rFonts w:asciiTheme="minorHAnsi" w:hAnsiTheme="minorHAnsi" w:cs="Arial"/>
        </w:rPr>
        <w:t>dopravě ve velké míře používané spalovací motory mění dvě třetiny energie paliva na ztrátové teplo a</w:t>
      </w:r>
      <w:r w:rsidR="00CF2351" w:rsidRPr="00B07D79">
        <w:rPr>
          <w:rFonts w:asciiTheme="minorHAnsi" w:hAnsiTheme="minorHAnsi" w:cs="Arial"/>
        </w:rPr>
        <w:t> </w:t>
      </w:r>
      <w:r w:rsidRPr="00B07D79">
        <w:rPr>
          <w:rFonts w:asciiTheme="minorHAnsi" w:hAnsiTheme="minorHAnsi" w:cs="Arial"/>
        </w:rPr>
        <w:t>nevyužívají vratnou kinetickou a</w:t>
      </w:r>
      <w:r w:rsidR="00CF2351" w:rsidRPr="00B07D79">
        <w:rPr>
          <w:rFonts w:asciiTheme="minorHAnsi" w:hAnsiTheme="minorHAnsi" w:cs="Arial"/>
        </w:rPr>
        <w:t> </w:t>
      </w:r>
      <w:r w:rsidRPr="00B07D79">
        <w:rPr>
          <w:rFonts w:asciiTheme="minorHAnsi" w:hAnsiTheme="minorHAnsi" w:cs="Arial"/>
        </w:rPr>
        <w:t>potenciální energii při zastavovacím a</w:t>
      </w:r>
      <w:r w:rsidR="00CF2351" w:rsidRPr="00B07D79">
        <w:rPr>
          <w:rFonts w:asciiTheme="minorHAnsi" w:hAnsiTheme="minorHAnsi" w:cs="Arial"/>
        </w:rPr>
        <w:t> </w:t>
      </w:r>
      <w:r w:rsidRPr="00B07D79">
        <w:rPr>
          <w:rFonts w:asciiTheme="minorHAnsi" w:hAnsiTheme="minorHAnsi" w:cs="Arial"/>
        </w:rPr>
        <w:t xml:space="preserve">spádovém brzdění. </w:t>
      </w:r>
    </w:p>
    <w:p w14:paraId="111DB040" w14:textId="4FC3144F"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Strategicky důležitým tématem je též odstranění závislosti dopravy v</w:t>
      </w:r>
      <w:r w:rsidR="00CF2351" w:rsidRPr="00B07D79">
        <w:rPr>
          <w:rFonts w:asciiTheme="minorHAnsi" w:hAnsiTheme="minorHAnsi" w:cs="Arial"/>
        </w:rPr>
        <w:t> </w:t>
      </w:r>
      <w:r w:rsidRPr="00B07D79">
        <w:rPr>
          <w:rFonts w:asciiTheme="minorHAnsi" w:hAnsiTheme="minorHAnsi" w:cs="Arial"/>
        </w:rPr>
        <w:t>ČR a</w:t>
      </w:r>
      <w:r w:rsidR="00CF2351" w:rsidRPr="00B07D79">
        <w:rPr>
          <w:rFonts w:asciiTheme="minorHAnsi" w:hAnsiTheme="minorHAnsi" w:cs="Arial"/>
        </w:rPr>
        <w:t> </w:t>
      </w:r>
      <w:r w:rsidRPr="00B07D79">
        <w:rPr>
          <w:rFonts w:asciiTheme="minorHAnsi" w:hAnsiTheme="minorHAnsi" w:cs="Arial"/>
        </w:rPr>
        <w:t>v zemích EU na importu fosilních paliv. Toto tvrzení se opírá o</w:t>
      </w:r>
      <w:r w:rsidR="00CF2351" w:rsidRPr="00B07D79">
        <w:rPr>
          <w:rFonts w:asciiTheme="minorHAnsi" w:hAnsiTheme="minorHAnsi" w:cs="Arial"/>
        </w:rPr>
        <w:t> </w:t>
      </w:r>
      <w:r w:rsidRPr="00B07D79">
        <w:rPr>
          <w:rFonts w:asciiTheme="minorHAnsi" w:hAnsiTheme="minorHAnsi" w:cs="Arial"/>
        </w:rPr>
        <w:t>to, že 99,1 % fosilních paliv pochází z</w:t>
      </w:r>
      <w:r w:rsidR="00CF2351" w:rsidRPr="00B07D79">
        <w:rPr>
          <w:rFonts w:asciiTheme="minorHAnsi" w:hAnsiTheme="minorHAnsi" w:cs="Arial"/>
        </w:rPr>
        <w:t> </w:t>
      </w:r>
      <w:r w:rsidRPr="00B07D79">
        <w:rPr>
          <w:rFonts w:asciiTheme="minorHAnsi" w:hAnsiTheme="minorHAnsi" w:cs="Arial"/>
        </w:rPr>
        <w:t>importu do EU a</w:t>
      </w:r>
      <w:r w:rsidR="00CF2351" w:rsidRPr="00B07D79">
        <w:rPr>
          <w:rFonts w:asciiTheme="minorHAnsi" w:hAnsiTheme="minorHAnsi" w:cs="Arial"/>
        </w:rPr>
        <w:t> </w:t>
      </w:r>
      <w:r w:rsidRPr="00B07D79">
        <w:rPr>
          <w:rFonts w:asciiTheme="minorHAnsi" w:hAnsiTheme="minorHAnsi" w:cs="Arial"/>
        </w:rPr>
        <w:t>země EU disponují pouze 0,9 % zásob fosilních paliv, ale celosvětově se podílí na spotřebě 11,2 %.</w:t>
      </w:r>
    </w:p>
    <w:p w14:paraId="3AFF49B6" w14:textId="1719F041"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Jakkoliv je přechod na čistou mobilitu významným zadáním pro dopravu, není jediným zadáním. Doprava musí paralelně s</w:t>
      </w:r>
      <w:r w:rsidR="00CF2351" w:rsidRPr="00B07D79">
        <w:rPr>
          <w:rFonts w:asciiTheme="minorHAnsi" w:hAnsiTheme="minorHAnsi" w:cs="Arial"/>
        </w:rPr>
        <w:t> </w:t>
      </w:r>
      <w:r w:rsidRPr="00B07D79">
        <w:rPr>
          <w:rFonts w:asciiTheme="minorHAnsi" w:hAnsiTheme="minorHAnsi" w:cs="Arial"/>
        </w:rPr>
        <w:t>dekarbonizací řešit i</w:t>
      </w:r>
      <w:r w:rsidR="00CF2351" w:rsidRPr="00B07D79">
        <w:rPr>
          <w:rFonts w:asciiTheme="minorHAnsi" w:hAnsiTheme="minorHAnsi" w:cs="Arial"/>
        </w:rPr>
        <w:t> </w:t>
      </w:r>
      <w:r w:rsidRPr="00B07D79">
        <w:rPr>
          <w:rFonts w:asciiTheme="minorHAnsi" w:hAnsiTheme="minorHAnsi" w:cs="Arial"/>
        </w:rPr>
        <w:t>další naléhavá témata:</w:t>
      </w:r>
    </w:p>
    <w:p w14:paraId="6EBBA960" w14:textId="7A34D8D5"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 xml:space="preserve">sociální geografie: náhrada nezdravé </w:t>
      </w:r>
      <w:proofErr w:type="spellStart"/>
      <w:r w:rsidRPr="00B07D79">
        <w:rPr>
          <w:rFonts w:asciiTheme="minorHAnsi" w:hAnsiTheme="minorHAnsi" w:cs="Arial"/>
        </w:rPr>
        <w:t>monocentrické</w:t>
      </w:r>
      <w:proofErr w:type="spellEnd"/>
      <w:r w:rsidRPr="00B07D79">
        <w:rPr>
          <w:rFonts w:asciiTheme="minorHAnsi" w:hAnsiTheme="minorHAnsi" w:cs="Arial"/>
        </w:rPr>
        <w:t xml:space="preserve"> struktury osídlení ČR s</w:t>
      </w:r>
      <w:r w:rsidR="00CF2351" w:rsidRPr="00B07D79">
        <w:rPr>
          <w:rFonts w:asciiTheme="minorHAnsi" w:hAnsiTheme="minorHAnsi" w:cs="Arial"/>
        </w:rPr>
        <w:t> </w:t>
      </w:r>
      <w:r w:rsidRPr="00B07D79">
        <w:rPr>
          <w:rFonts w:asciiTheme="minorHAnsi" w:hAnsiTheme="minorHAnsi" w:cs="Arial"/>
        </w:rPr>
        <w:t>bohatnoucím centrem a</w:t>
      </w:r>
      <w:r w:rsidR="00CF2351" w:rsidRPr="00B07D79">
        <w:rPr>
          <w:rFonts w:asciiTheme="minorHAnsi" w:hAnsiTheme="minorHAnsi" w:cs="Arial"/>
        </w:rPr>
        <w:t> </w:t>
      </w:r>
      <w:r w:rsidRPr="00B07D79">
        <w:rPr>
          <w:rFonts w:asciiTheme="minorHAnsi" w:hAnsiTheme="minorHAnsi" w:cs="Arial"/>
        </w:rPr>
        <w:t>chudnoucími odlehlými částmi, zdravou rovnoměrnou polycentrickou strukturou osídlení. Cílem je zapojení celé plochy území státu do systému tvorby a</w:t>
      </w:r>
      <w:r w:rsidR="00CF2351" w:rsidRPr="00B07D79">
        <w:rPr>
          <w:rFonts w:asciiTheme="minorHAnsi" w:hAnsiTheme="minorHAnsi" w:cs="Arial"/>
        </w:rPr>
        <w:t> </w:t>
      </w:r>
      <w:r w:rsidRPr="00B07D79">
        <w:rPr>
          <w:rFonts w:asciiTheme="minorHAnsi" w:hAnsiTheme="minorHAnsi" w:cs="Arial"/>
        </w:rPr>
        <w:t>spotřeby hodnot. Nástrojem k</w:t>
      </w:r>
      <w:r w:rsidR="00CF2351" w:rsidRPr="00B07D79">
        <w:rPr>
          <w:rFonts w:asciiTheme="minorHAnsi" w:hAnsiTheme="minorHAnsi" w:cs="Arial"/>
        </w:rPr>
        <w:t> </w:t>
      </w:r>
      <w:r w:rsidRPr="00B07D79">
        <w:rPr>
          <w:rFonts w:asciiTheme="minorHAnsi" w:hAnsiTheme="minorHAnsi" w:cs="Arial"/>
        </w:rPr>
        <w:t>tomu je rychlá a</w:t>
      </w:r>
      <w:r w:rsidR="00CF2351" w:rsidRPr="00B07D79">
        <w:rPr>
          <w:rFonts w:asciiTheme="minorHAnsi" w:hAnsiTheme="minorHAnsi" w:cs="Arial"/>
        </w:rPr>
        <w:t> </w:t>
      </w:r>
      <w:r w:rsidRPr="00B07D79">
        <w:rPr>
          <w:rFonts w:asciiTheme="minorHAnsi" w:hAnsiTheme="minorHAnsi" w:cs="Arial"/>
        </w:rPr>
        <w:t>pohodlná udržitelná doprava,</w:t>
      </w:r>
    </w:p>
    <w:p w14:paraId="305DB50C" w14:textId="17971803"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humanizace měst: zklidnění městských ulic, prioritní využití veřejných ploch k</w:t>
      </w:r>
      <w:r w:rsidR="00CF2351" w:rsidRPr="00B07D79">
        <w:rPr>
          <w:rFonts w:asciiTheme="minorHAnsi" w:hAnsiTheme="minorHAnsi" w:cs="Arial"/>
        </w:rPr>
        <w:t> </w:t>
      </w:r>
      <w:r w:rsidRPr="00B07D79">
        <w:rPr>
          <w:rFonts w:asciiTheme="minorHAnsi" w:hAnsiTheme="minorHAnsi" w:cs="Arial"/>
        </w:rPr>
        <w:t>relaxaci, zelení a</w:t>
      </w:r>
      <w:r w:rsidR="00CF2351" w:rsidRPr="00B07D79">
        <w:rPr>
          <w:rFonts w:asciiTheme="minorHAnsi" w:hAnsiTheme="minorHAnsi" w:cs="Arial"/>
        </w:rPr>
        <w:t> </w:t>
      </w:r>
      <w:r w:rsidRPr="00B07D79">
        <w:rPr>
          <w:rFonts w:asciiTheme="minorHAnsi" w:hAnsiTheme="minorHAnsi" w:cs="Arial"/>
        </w:rPr>
        <w:t>vodním plochám, nikoliv k</w:t>
      </w:r>
      <w:r w:rsidR="00CF2351" w:rsidRPr="00B07D79">
        <w:rPr>
          <w:rFonts w:asciiTheme="minorHAnsi" w:hAnsiTheme="minorHAnsi" w:cs="Arial"/>
        </w:rPr>
        <w:t> </w:t>
      </w:r>
      <w:r w:rsidRPr="00B07D79">
        <w:rPr>
          <w:rFonts w:asciiTheme="minorHAnsi" w:hAnsiTheme="minorHAnsi" w:cs="Arial"/>
        </w:rPr>
        <w:t>odkládání nečinných automobilů,</w:t>
      </w:r>
    </w:p>
    <w:p w14:paraId="15F759DD" w14:textId="72AB5E20"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zásadní zvýšení produktivity lidské práce: odstranění závislosti dopravy na velkém počtu lidí, ochotných vykonávat odpovědná a</w:t>
      </w:r>
      <w:r w:rsidR="00CF2351" w:rsidRPr="00B07D79">
        <w:rPr>
          <w:rFonts w:asciiTheme="minorHAnsi" w:hAnsiTheme="minorHAnsi" w:cs="Arial"/>
        </w:rPr>
        <w:t> </w:t>
      </w:r>
      <w:r w:rsidRPr="00B07D79">
        <w:rPr>
          <w:rFonts w:asciiTheme="minorHAnsi" w:hAnsiTheme="minorHAnsi" w:cs="Arial"/>
        </w:rPr>
        <w:t>časově náročná povolání v</w:t>
      </w:r>
      <w:r w:rsidR="00CF2351" w:rsidRPr="00B07D79">
        <w:rPr>
          <w:rFonts w:asciiTheme="minorHAnsi" w:hAnsiTheme="minorHAnsi" w:cs="Arial"/>
        </w:rPr>
        <w:t> </w:t>
      </w:r>
      <w:r w:rsidRPr="00B07D79">
        <w:rPr>
          <w:rFonts w:asciiTheme="minorHAnsi" w:hAnsiTheme="minorHAnsi" w:cs="Arial"/>
        </w:rPr>
        <w:t xml:space="preserve">dopravním provozu, </w:t>
      </w:r>
    </w:p>
    <w:p w14:paraId="4D3F3838" w14:textId="6455AC75"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zásadní zvýšení produktivity práce vozidel: snížení rozsahu kapitálu, materiálu a</w:t>
      </w:r>
      <w:r w:rsidR="00CF2351" w:rsidRPr="00B07D79">
        <w:rPr>
          <w:rFonts w:asciiTheme="minorHAnsi" w:hAnsiTheme="minorHAnsi" w:cs="Arial"/>
        </w:rPr>
        <w:t> </w:t>
      </w:r>
      <w:r w:rsidRPr="00B07D79">
        <w:rPr>
          <w:rFonts w:asciiTheme="minorHAnsi" w:hAnsiTheme="minorHAnsi" w:cs="Arial"/>
        </w:rPr>
        <w:t>lidské práce vloženého do parku vozidel s</w:t>
      </w:r>
      <w:r w:rsidR="00CF2351" w:rsidRPr="00B07D79">
        <w:rPr>
          <w:rFonts w:asciiTheme="minorHAnsi" w:hAnsiTheme="minorHAnsi" w:cs="Arial"/>
        </w:rPr>
        <w:t> </w:t>
      </w:r>
      <w:r w:rsidRPr="00B07D79">
        <w:rPr>
          <w:rFonts w:asciiTheme="minorHAnsi" w:hAnsiTheme="minorHAnsi" w:cs="Arial"/>
        </w:rPr>
        <w:t>nepatrným časovým využitím a</w:t>
      </w:r>
      <w:r w:rsidR="00CF2351" w:rsidRPr="00B07D79">
        <w:rPr>
          <w:rFonts w:asciiTheme="minorHAnsi" w:hAnsiTheme="minorHAnsi" w:cs="Arial"/>
        </w:rPr>
        <w:t> </w:t>
      </w:r>
      <w:r w:rsidRPr="00B07D79">
        <w:rPr>
          <w:rFonts w:asciiTheme="minorHAnsi" w:hAnsiTheme="minorHAnsi" w:cs="Arial"/>
        </w:rPr>
        <w:t>nepatrným kapacitním využitím</w:t>
      </w:r>
      <w:r w:rsidRPr="00B07D79">
        <w:rPr>
          <w:rStyle w:val="Znakapoznpodarou"/>
          <w:rFonts w:asciiTheme="minorHAnsi" w:hAnsiTheme="minorHAnsi" w:cs="Arial"/>
        </w:rPr>
        <w:footnoteReference w:id="11"/>
      </w:r>
      <w:r w:rsidRPr="00B07D79">
        <w:rPr>
          <w:rFonts w:asciiTheme="minorHAnsi" w:hAnsiTheme="minorHAnsi" w:cs="Arial"/>
        </w:rPr>
        <w:t>, a</w:t>
      </w:r>
      <w:r w:rsidR="00CF2351" w:rsidRPr="00B07D79">
        <w:rPr>
          <w:rFonts w:asciiTheme="minorHAnsi" w:hAnsiTheme="minorHAnsi" w:cs="Arial"/>
        </w:rPr>
        <w:t> </w:t>
      </w:r>
      <w:r w:rsidRPr="00B07D79">
        <w:rPr>
          <w:rFonts w:asciiTheme="minorHAnsi" w:hAnsiTheme="minorHAnsi" w:cs="Arial"/>
        </w:rPr>
        <w:t>zároveň snížení záboru ploch málo využitými či nečinnými vozidly,</w:t>
      </w:r>
    </w:p>
    <w:p w14:paraId="0D5C9A62" w14:textId="5722B746"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zvýšení bezpečnosti dopravy: minimalizace výskytu nehod a</w:t>
      </w:r>
      <w:r w:rsidR="00CF2351" w:rsidRPr="00B07D79">
        <w:rPr>
          <w:rFonts w:asciiTheme="minorHAnsi" w:hAnsiTheme="minorHAnsi" w:cs="Arial"/>
        </w:rPr>
        <w:t> </w:t>
      </w:r>
      <w:r w:rsidRPr="00B07D79">
        <w:rPr>
          <w:rFonts w:asciiTheme="minorHAnsi" w:hAnsiTheme="minorHAnsi" w:cs="Arial"/>
        </w:rPr>
        <w:t>jejich následků, docílená odstraněním závislosti dopravy na chybách lidského činitele,</w:t>
      </w:r>
    </w:p>
    <w:p w14:paraId="349B5381"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zvýšení spolehlivosti dopravy,</w:t>
      </w:r>
    </w:p>
    <w:p w14:paraId="45DF54A7" w14:textId="7CC47F26"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ochrana zdraví a</w:t>
      </w:r>
      <w:r w:rsidR="00CF2351" w:rsidRPr="00B07D79">
        <w:rPr>
          <w:rFonts w:asciiTheme="minorHAnsi" w:hAnsiTheme="minorHAnsi" w:cs="Arial"/>
        </w:rPr>
        <w:t> </w:t>
      </w:r>
      <w:r w:rsidRPr="00B07D79">
        <w:rPr>
          <w:rFonts w:asciiTheme="minorHAnsi" w:hAnsiTheme="minorHAnsi" w:cs="Arial"/>
        </w:rPr>
        <w:t>životního prostředí.</w:t>
      </w:r>
    </w:p>
    <w:p w14:paraId="23BF6DE0" w14:textId="7F20860D"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Uvedené záměry lze naplnit využíváním různých způsobů dopravy a</w:t>
      </w:r>
      <w:r w:rsidR="00CF2351" w:rsidRPr="00B07D79">
        <w:rPr>
          <w:rFonts w:asciiTheme="minorHAnsi" w:hAnsiTheme="minorHAnsi" w:cs="Arial"/>
        </w:rPr>
        <w:t> </w:t>
      </w:r>
      <w:r w:rsidRPr="00B07D79">
        <w:rPr>
          <w:rFonts w:asciiTheme="minorHAnsi" w:hAnsiTheme="minorHAnsi" w:cs="Arial"/>
        </w:rPr>
        <w:t>jejího propojování (tzv.</w:t>
      </w:r>
      <w:r w:rsidR="00F819FC" w:rsidRPr="00B07D79">
        <w:rPr>
          <w:rFonts w:asciiTheme="minorHAnsi" w:hAnsiTheme="minorHAnsi" w:cs="Arial"/>
        </w:rPr>
        <w:t> </w:t>
      </w:r>
      <w:proofErr w:type="spellStart"/>
      <w:r w:rsidRPr="00B07D79">
        <w:rPr>
          <w:rFonts w:asciiTheme="minorHAnsi" w:hAnsiTheme="minorHAnsi" w:cs="Arial"/>
        </w:rPr>
        <w:t>multimodalita</w:t>
      </w:r>
      <w:proofErr w:type="spellEnd"/>
      <w:r w:rsidRPr="00B07D79">
        <w:rPr>
          <w:rFonts w:asciiTheme="minorHAnsi" w:hAnsiTheme="minorHAnsi" w:cs="Arial"/>
        </w:rPr>
        <w:t xml:space="preserve"> a</w:t>
      </w:r>
      <w:r w:rsidR="00CF2351" w:rsidRPr="00B07D79">
        <w:rPr>
          <w:rFonts w:asciiTheme="minorHAnsi" w:hAnsiTheme="minorHAnsi" w:cs="Arial"/>
        </w:rPr>
        <w:t> </w:t>
      </w:r>
      <w:proofErr w:type="spellStart"/>
      <w:r w:rsidRPr="00B07D79">
        <w:rPr>
          <w:rFonts w:asciiTheme="minorHAnsi" w:hAnsiTheme="minorHAnsi" w:cs="Arial"/>
        </w:rPr>
        <w:t>intermodalita</w:t>
      </w:r>
      <w:proofErr w:type="spellEnd"/>
      <w:r w:rsidRPr="00B07D79">
        <w:rPr>
          <w:rFonts w:asciiTheme="minorHAnsi" w:hAnsiTheme="minorHAnsi" w:cs="Arial"/>
        </w:rPr>
        <w:t xml:space="preserve">), jako např. zvyšování provázanosti železniční, autobusové </w:t>
      </w:r>
      <w:r w:rsidRPr="00B07D79">
        <w:rPr>
          <w:rFonts w:asciiTheme="minorHAnsi" w:hAnsiTheme="minorHAnsi" w:cs="Arial"/>
        </w:rPr>
        <w:lastRenderedPageBreak/>
        <w:t>a</w:t>
      </w:r>
      <w:r w:rsidR="00CF2351" w:rsidRPr="00B07D79">
        <w:rPr>
          <w:rFonts w:asciiTheme="minorHAnsi" w:hAnsiTheme="minorHAnsi" w:cs="Arial"/>
        </w:rPr>
        <w:t> </w:t>
      </w:r>
      <w:r w:rsidRPr="00B07D79">
        <w:rPr>
          <w:rFonts w:asciiTheme="minorHAnsi" w:hAnsiTheme="minorHAnsi" w:cs="Arial"/>
        </w:rPr>
        <w:t>městské dopravy, budování multimodálních dopravních uzlů pro cestující s</w:t>
      </w:r>
      <w:r w:rsidR="00CF2351" w:rsidRPr="00B07D79">
        <w:rPr>
          <w:rFonts w:asciiTheme="minorHAnsi" w:hAnsiTheme="minorHAnsi" w:cs="Arial"/>
        </w:rPr>
        <w:t> </w:t>
      </w:r>
      <w:r w:rsidRPr="00B07D79">
        <w:rPr>
          <w:rFonts w:asciiTheme="minorHAnsi" w:hAnsiTheme="minorHAnsi" w:cs="Arial"/>
        </w:rPr>
        <w:t>dobrou návazností spojů nebo propojování individuální a</w:t>
      </w:r>
      <w:r w:rsidR="00CF2351" w:rsidRPr="00B07D79">
        <w:rPr>
          <w:rFonts w:asciiTheme="minorHAnsi" w:hAnsiTheme="minorHAnsi" w:cs="Arial"/>
        </w:rPr>
        <w:t> </w:t>
      </w:r>
      <w:r w:rsidRPr="00B07D79">
        <w:rPr>
          <w:rFonts w:asciiTheme="minorHAnsi" w:hAnsiTheme="minorHAnsi" w:cs="Arial"/>
        </w:rPr>
        <w:t>hromadné dopravy formou výstavby systémů parkovišť u</w:t>
      </w:r>
      <w:r w:rsidR="00CF2351" w:rsidRPr="00B07D79">
        <w:rPr>
          <w:rFonts w:asciiTheme="minorHAnsi" w:hAnsiTheme="minorHAnsi" w:cs="Arial"/>
        </w:rPr>
        <w:t> </w:t>
      </w:r>
      <w:r w:rsidRPr="00B07D79">
        <w:rPr>
          <w:rFonts w:asciiTheme="minorHAnsi" w:hAnsiTheme="minorHAnsi" w:cs="Arial"/>
        </w:rPr>
        <w:t xml:space="preserve">stanic veřejné dopravy. </w:t>
      </w:r>
    </w:p>
    <w:p w14:paraId="13AE2548" w14:textId="453AE41C" w:rsidR="00543428" w:rsidRPr="00B07D79" w:rsidRDefault="00543428" w:rsidP="00B07D79">
      <w:pPr>
        <w:spacing w:before="160" w:line="276" w:lineRule="auto"/>
        <w:jc w:val="both"/>
        <w:rPr>
          <w:rFonts w:asciiTheme="minorHAnsi" w:hAnsiTheme="minorHAnsi" w:cs="Arial"/>
        </w:rPr>
      </w:pPr>
      <w:r w:rsidRPr="00B07D79">
        <w:rPr>
          <w:rFonts w:asciiTheme="minorHAnsi" w:hAnsiTheme="minorHAnsi" w:cs="Arial"/>
        </w:rPr>
        <w:t xml:space="preserve">Cílem čisté mobility je naplnění </w:t>
      </w:r>
      <w:proofErr w:type="spellStart"/>
      <w:r w:rsidRPr="00B07D79">
        <w:rPr>
          <w:rFonts w:asciiTheme="minorHAnsi" w:hAnsiTheme="minorHAnsi" w:cs="Arial"/>
        </w:rPr>
        <w:t>mitigačního</w:t>
      </w:r>
      <w:proofErr w:type="spellEnd"/>
      <w:r w:rsidRPr="00B07D79">
        <w:rPr>
          <w:rFonts w:asciiTheme="minorHAnsi" w:hAnsiTheme="minorHAnsi" w:cs="Arial"/>
        </w:rPr>
        <w:t xml:space="preserve"> opatření, jakož pro snížení emisí znečišťujících látek. V</w:t>
      </w:r>
      <w:r w:rsidR="00CF2351" w:rsidRPr="00B07D79">
        <w:rPr>
          <w:rFonts w:asciiTheme="minorHAnsi" w:hAnsiTheme="minorHAnsi" w:cs="Arial"/>
        </w:rPr>
        <w:t> </w:t>
      </w:r>
      <w:r w:rsidRPr="00B07D79">
        <w:rPr>
          <w:rFonts w:asciiTheme="minorHAnsi" w:hAnsiTheme="minorHAnsi" w:cs="Arial"/>
        </w:rPr>
        <w:t>oblasti osobní dopravy je možné cíle čisté mobility naplnit snadněji než v</w:t>
      </w:r>
      <w:r w:rsidR="00CF2351" w:rsidRPr="00B07D79">
        <w:rPr>
          <w:rFonts w:asciiTheme="minorHAnsi" w:hAnsiTheme="minorHAnsi" w:cs="Arial"/>
        </w:rPr>
        <w:t> </w:t>
      </w:r>
      <w:r w:rsidRPr="00B07D79">
        <w:rPr>
          <w:rFonts w:asciiTheme="minorHAnsi" w:hAnsiTheme="minorHAnsi" w:cs="Arial"/>
        </w:rPr>
        <w:t>dopravě nákladní. Cílem není odebírat zakázky silničním dopravcům a</w:t>
      </w:r>
      <w:r w:rsidR="00CF2351" w:rsidRPr="00B07D79">
        <w:rPr>
          <w:rFonts w:asciiTheme="minorHAnsi" w:hAnsiTheme="minorHAnsi" w:cs="Arial"/>
        </w:rPr>
        <w:t> </w:t>
      </w:r>
      <w:r w:rsidRPr="00B07D79">
        <w:rPr>
          <w:rFonts w:asciiTheme="minorHAnsi" w:hAnsiTheme="minorHAnsi" w:cs="Arial"/>
        </w:rPr>
        <w:t>narušovat tím tržní prostředí v</w:t>
      </w:r>
      <w:r w:rsidR="00CF2351" w:rsidRPr="00B07D79">
        <w:rPr>
          <w:rFonts w:asciiTheme="minorHAnsi" w:hAnsiTheme="minorHAnsi" w:cs="Arial"/>
        </w:rPr>
        <w:t> </w:t>
      </w:r>
      <w:r w:rsidRPr="00B07D79">
        <w:rPr>
          <w:rFonts w:asciiTheme="minorHAnsi" w:hAnsiTheme="minorHAnsi" w:cs="Arial"/>
        </w:rPr>
        <w:t>nákladní dopravě, ale naopak pomoci silniční nákladní dopravě, díky transformaci dopravního trhu a</w:t>
      </w:r>
      <w:r w:rsidR="00CF2351" w:rsidRPr="00B07D79">
        <w:rPr>
          <w:rFonts w:asciiTheme="minorHAnsi" w:hAnsiTheme="minorHAnsi" w:cs="Arial"/>
        </w:rPr>
        <w:t> </w:t>
      </w:r>
      <w:r w:rsidRPr="00B07D79">
        <w:rPr>
          <w:rFonts w:asciiTheme="minorHAnsi" w:hAnsiTheme="minorHAnsi" w:cs="Arial"/>
        </w:rPr>
        <w:t>tím odstranit chronický nedostatek řidičů. Strojvedoucí nákladního vlaku dopravuje 30 až 50krát více zboží než řidič dálkového nákladního automobilu. Cílem je proto poskytnout službu silničním dopravcům a</w:t>
      </w:r>
      <w:r w:rsidR="00CF2351" w:rsidRPr="00B07D79">
        <w:rPr>
          <w:rFonts w:asciiTheme="minorHAnsi" w:hAnsiTheme="minorHAnsi" w:cs="Arial"/>
        </w:rPr>
        <w:t> </w:t>
      </w:r>
      <w:r w:rsidRPr="00B07D79">
        <w:rPr>
          <w:rFonts w:asciiTheme="minorHAnsi" w:hAnsiTheme="minorHAnsi" w:cs="Arial"/>
        </w:rPr>
        <w:t>ostatním subjektům v</w:t>
      </w:r>
      <w:r w:rsidR="00CF2351" w:rsidRPr="00B07D79">
        <w:rPr>
          <w:rFonts w:asciiTheme="minorHAnsi" w:hAnsiTheme="minorHAnsi" w:cs="Arial"/>
        </w:rPr>
        <w:t> </w:t>
      </w:r>
      <w:r w:rsidRPr="00B07D79">
        <w:rPr>
          <w:rFonts w:asciiTheme="minorHAnsi" w:hAnsiTheme="minorHAnsi" w:cs="Arial"/>
        </w:rPr>
        <w:t>dopravě, a</w:t>
      </w:r>
      <w:r w:rsidR="00CF2351" w:rsidRPr="00B07D79">
        <w:rPr>
          <w:rFonts w:asciiTheme="minorHAnsi" w:hAnsiTheme="minorHAnsi" w:cs="Arial"/>
        </w:rPr>
        <w:t> </w:t>
      </w:r>
      <w:r w:rsidRPr="00B07D79">
        <w:rPr>
          <w:rFonts w:asciiTheme="minorHAnsi" w:hAnsiTheme="minorHAnsi" w:cs="Arial"/>
        </w:rPr>
        <w:t>zároveň snížit negativní vlivy nákladní dopravy na životní prostředí a</w:t>
      </w:r>
      <w:r w:rsidR="00CF2351" w:rsidRPr="00B07D79">
        <w:rPr>
          <w:rFonts w:asciiTheme="minorHAnsi" w:hAnsiTheme="minorHAnsi" w:cs="Arial"/>
        </w:rPr>
        <w:t> </w:t>
      </w:r>
      <w:r w:rsidRPr="00B07D79">
        <w:rPr>
          <w:rFonts w:asciiTheme="minorHAnsi" w:hAnsiTheme="minorHAnsi" w:cs="Arial"/>
        </w:rPr>
        <w:t>výrazným způsobem přispět k</w:t>
      </w:r>
      <w:r w:rsidR="00CF2351" w:rsidRPr="00B07D79">
        <w:rPr>
          <w:rFonts w:asciiTheme="minorHAnsi" w:hAnsiTheme="minorHAnsi" w:cs="Arial"/>
        </w:rPr>
        <w:t> </w:t>
      </w:r>
      <w:r w:rsidRPr="00B07D79">
        <w:rPr>
          <w:rFonts w:asciiTheme="minorHAnsi" w:hAnsiTheme="minorHAnsi" w:cs="Arial"/>
        </w:rPr>
        <w:t>energetickým úsporám</w:t>
      </w:r>
      <w:r w:rsidR="00F918EB" w:rsidRPr="00B07D79">
        <w:rPr>
          <w:rFonts w:asciiTheme="minorHAnsi" w:hAnsiTheme="minorHAnsi" w:cs="Arial"/>
        </w:rPr>
        <w:t>.</w:t>
      </w:r>
      <w:r w:rsidRPr="00B07D79">
        <w:rPr>
          <w:rStyle w:val="Znakapoznpodarou"/>
          <w:rFonts w:asciiTheme="minorHAnsi" w:hAnsiTheme="minorHAnsi" w:cs="Arial"/>
        </w:rPr>
        <w:footnoteReference w:id="12"/>
      </w:r>
      <w:r w:rsidRPr="00B07D79">
        <w:rPr>
          <w:rFonts w:asciiTheme="minorHAnsi" w:hAnsiTheme="minorHAnsi" w:cs="Arial"/>
        </w:rPr>
        <w:t xml:space="preserve"> Opatření zaměřená na </w:t>
      </w:r>
      <w:proofErr w:type="spellStart"/>
      <w:r w:rsidRPr="00B07D79">
        <w:rPr>
          <w:rFonts w:asciiTheme="minorHAnsi" w:hAnsiTheme="minorHAnsi" w:cs="Arial"/>
        </w:rPr>
        <w:t>multimodalitu</w:t>
      </w:r>
      <w:proofErr w:type="spellEnd"/>
      <w:r w:rsidRPr="00B07D79">
        <w:rPr>
          <w:rFonts w:asciiTheme="minorHAnsi" w:hAnsiTheme="minorHAnsi" w:cs="Arial"/>
        </w:rPr>
        <w:t xml:space="preserve"> v</w:t>
      </w:r>
      <w:r w:rsidR="00CF2351" w:rsidRPr="00B07D79">
        <w:rPr>
          <w:rFonts w:asciiTheme="minorHAnsi" w:hAnsiTheme="minorHAnsi" w:cs="Arial"/>
        </w:rPr>
        <w:t> </w:t>
      </w:r>
      <w:r w:rsidRPr="00B07D79">
        <w:rPr>
          <w:rFonts w:asciiTheme="minorHAnsi" w:hAnsiTheme="minorHAnsi" w:cs="Arial"/>
        </w:rPr>
        <w:t>nákladní dopravě jsou uvedená v</w:t>
      </w:r>
      <w:r w:rsidR="00CF2351" w:rsidRPr="00B07D79">
        <w:rPr>
          <w:rFonts w:asciiTheme="minorHAnsi" w:hAnsiTheme="minorHAnsi" w:cs="Arial"/>
        </w:rPr>
        <w:t> </w:t>
      </w:r>
      <w:r w:rsidRPr="00B07D79">
        <w:rPr>
          <w:rFonts w:asciiTheme="minorHAnsi" w:hAnsiTheme="minorHAnsi" w:cs="Arial"/>
        </w:rPr>
        <w:t>navazující </w:t>
      </w:r>
      <w:r w:rsidRPr="00B07D79">
        <w:rPr>
          <w:rFonts w:asciiTheme="minorHAnsi" w:hAnsiTheme="minorHAnsi" w:cs="Arial"/>
          <w:i/>
        </w:rPr>
        <w:t>Koncepci nákladní dopravy</w:t>
      </w:r>
      <w:r w:rsidRPr="00B07D79">
        <w:rPr>
          <w:rFonts w:asciiTheme="minorHAnsi" w:hAnsiTheme="minorHAnsi" w:cs="Arial"/>
        </w:rPr>
        <w:t>. Je však nutné upozornit na skutečnost, že</w:t>
      </w:r>
      <w:r w:rsidR="00F819FC" w:rsidRPr="00B07D79">
        <w:rPr>
          <w:rFonts w:asciiTheme="minorHAnsi" w:hAnsiTheme="minorHAnsi" w:cs="Arial"/>
        </w:rPr>
        <w:t> </w:t>
      </w:r>
      <w:r w:rsidRPr="00B07D79">
        <w:rPr>
          <w:rFonts w:asciiTheme="minorHAnsi" w:hAnsiTheme="minorHAnsi" w:cs="Arial"/>
        </w:rPr>
        <w:t>se na území ČR odehrává jen menší část dálkových přeprav v</w:t>
      </w:r>
      <w:r w:rsidR="00CF2351" w:rsidRPr="00B07D79">
        <w:rPr>
          <w:rFonts w:asciiTheme="minorHAnsi" w:hAnsiTheme="minorHAnsi" w:cs="Arial"/>
        </w:rPr>
        <w:t> </w:t>
      </w:r>
      <w:r w:rsidRPr="00B07D79">
        <w:rPr>
          <w:rFonts w:asciiTheme="minorHAnsi" w:hAnsiTheme="minorHAnsi" w:cs="Arial"/>
        </w:rPr>
        <w:t>multimodální nákladní dopravě, a</w:t>
      </w:r>
      <w:r w:rsidR="00CF2351" w:rsidRPr="00B07D79">
        <w:rPr>
          <w:rFonts w:asciiTheme="minorHAnsi" w:hAnsiTheme="minorHAnsi" w:cs="Arial"/>
        </w:rPr>
        <w:t> </w:t>
      </w:r>
      <w:r w:rsidRPr="00B07D79">
        <w:rPr>
          <w:rFonts w:asciiTheme="minorHAnsi" w:hAnsiTheme="minorHAnsi" w:cs="Arial"/>
        </w:rPr>
        <w:t>že konkurenceschopnost těchto služeb je dána spolehlivostí systému, a</w:t>
      </w:r>
      <w:r w:rsidR="00CF2351" w:rsidRPr="00B07D79">
        <w:rPr>
          <w:rFonts w:asciiTheme="minorHAnsi" w:hAnsiTheme="minorHAnsi" w:cs="Arial"/>
        </w:rPr>
        <w:t> </w:t>
      </w:r>
      <w:r w:rsidRPr="00B07D79">
        <w:rPr>
          <w:rFonts w:asciiTheme="minorHAnsi" w:hAnsiTheme="minorHAnsi" w:cs="Arial"/>
        </w:rPr>
        <w:t>to včetně zahraničních úseků cesty, které česká dopravní politika již nemůže ovlivnit. Rovněž evropský cíl ohledně převedení 75 % silniční nákladní dopravy na železniční a</w:t>
      </w:r>
      <w:r w:rsidR="00CF2351" w:rsidRPr="00B07D79">
        <w:rPr>
          <w:rFonts w:asciiTheme="minorHAnsi" w:hAnsiTheme="minorHAnsi" w:cs="Arial"/>
        </w:rPr>
        <w:t> </w:t>
      </w:r>
      <w:r w:rsidRPr="00B07D79">
        <w:rPr>
          <w:rFonts w:asciiTheme="minorHAnsi" w:hAnsiTheme="minorHAnsi" w:cs="Arial"/>
        </w:rPr>
        <w:t xml:space="preserve">vodní dopravu do roku 2050 </w:t>
      </w:r>
      <w:r w:rsidR="0074122A">
        <w:rPr>
          <w:rFonts w:asciiTheme="minorHAnsi" w:hAnsiTheme="minorHAnsi" w:cs="Arial"/>
        </w:rPr>
        <w:t>(</w:t>
      </w:r>
      <w:r w:rsidRPr="00B07D79">
        <w:rPr>
          <w:rFonts w:asciiTheme="minorHAnsi" w:hAnsiTheme="minorHAnsi" w:cs="Arial"/>
        </w:rPr>
        <w:t>(viz Sdělení Evropské komise COM</w:t>
      </w:r>
      <w:r w:rsidR="0074122A">
        <w:rPr>
          <w:rFonts w:asciiTheme="minorHAnsi" w:hAnsiTheme="minorHAnsi" w:cs="Arial"/>
        </w:rPr>
        <w:t xml:space="preserve"> </w:t>
      </w:r>
      <w:r w:rsidRPr="00B07D79">
        <w:rPr>
          <w:rFonts w:asciiTheme="minorHAnsi" w:hAnsiTheme="minorHAnsi" w:cs="Arial"/>
        </w:rPr>
        <w:t>(2019) 640)</w:t>
      </w:r>
      <w:r w:rsidR="0074122A">
        <w:rPr>
          <w:rFonts w:asciiTheme="minorHAnsi" w:hAnsiTheme="minorHAnsi" w:cs="Arial"/>
        </w:rPr>
        <w:t>)</w:t>
      </w:r>
      <w:r w:rsidRPr="00B07D79">
        <w:rPr>
          <w:rFonts w:asciiTheme="minorHAnsi" w:hAnsiTheme="minorHAnsi" w:cs="Arial"/>
        </w:rPr>
        <w:t xml:space="preserve"> je nutné chápat v</w:t>
      </w:r>
      <w:r w:rsidR="00CF2351" w:rsidRPr="00B07D79">
        <w:rPr>
          <w:rFonts w:asciiTheme="minorHAnsi" w:hAnsiTheme="minorHAnsi" w:cs="Arial"/>
        </w:rPr>
        <w:t> </w:t>
      </w:r>
      <w:r w:rsidRPr="00B07D79">
        <w:rPr>
          <w:rFonts w:asciiTheme="minorHAnsi" w:hAnsiTheme="minorHAnsi" w:cs="Arial"/>
        </w:rPr>
        <w:t>kontextu evropského cíle vztaženého na celý prostor EU, přičemž významnou roli zde hraje příbřežní námořní doprava. Strategie EU se postupně vyvíjí a</w:t>
      </w:r>
      <w:r w:rsidR="00CF2351" w:rsidRPr="00B07D79">
        <w:rPr>
          <w:rFonts w:asciiTheme="minorHAnsi" w:hAnsiTheme="minorHAnsi" w:cs="Arial"/>
        </w:rPr>
        <w:t> </w:t>
      </w:r>
      <w:r w:rsidRPr="00B07D79">
        <w:rPr>
          <w:rFonts w:asciiTheme="minorHAnsi" w:hAnsiTheme="minorHAnsi" w:cs="Arial"/>
        </w:rPr>
        <w:t>sledují trendy přibližující se k</w:t>
      </w:r>
      <w:r w:rsidR="00CF2351" w:rsidRPr="00B07D79">
        <w:rPr>
          <w:rFonts w:asciiTheme="minorHAnsi" w:hAnsiTheme="minorHAnsi" w:cs="Arial"/>
        </w:rPr>
        <w:t> </w:t>
      </w:r>
      <w:r w:rsidRPr="00B07D79">
        <w:rPr>
          <w:rFonts w:asciiTheme="minorHAnsi" w:hAnsiTheme="minorHAnsi" w:cs="Arial"/>
        </w:rPr>
        <w:t xml:space="preserve">bezemisní dopravě, na což je zaměřeno také sdělení EK </w:t>
      </w:r>
      <w:r w:rsidRPr="00B07D79">
        <w:rPr>
          <w:rFonts w:asciiTheme="minorHAnsi" w:hAnsiTheme="minorHAnsi" w:cs="Arial"/>
          <w:i/>
        </w:rPr>
        <w:t>Zelená dohoda pro Evropu</w:t>
      </w:r>
      <w:r w:rsidRPr="00B07D79">
        <w:rPr>
          <w:rFonts w:asciiTheme="minorHAnsi" w:hAnsiTheme="minorHAnsi" w:cs="Arial"/>
        </w:rPr>
        <w:t xml:space="preserve">. </w:t>
      </w:r>
    </w:p>
    <w:p w14:paraId="6F3187F4" w14:textId="77777777" w:rsidR="000E5B59" w:rsidRPr="000E5B59" w:rsidRDefault="000E5B59" w:rsidP="000E5B59">
      <w:pPr>
        <w:pStyle w:val="Odstavecseseznamem"/>
        <w:keepNext/>
        <w:numPr>
          <w:ilvl w:val="0"/>
          <w:numId w:val="154"/>
        </w:numPr>
        <w:spacing w:before="240" w:after="240"/>
        <w:contextualSpacing w:val="0"/>
        <w:outlineLvl w:val="1"/>
        <w:rPr>
          <w:rFonts w:asciiTheme="minorHAnsi" w:hAnsiTheme="minorHAnsi" w:cs="Arial"/>
          <w:vanish/>
          <w:color w:val="538135" w:themeColor="accent6" w:themeShade="BF"/>
          <w:sz w:val="28"/>
          <w:szCs w:val="32"/>
        </w:rPr>
      </w:pPr>
      <w:bookmarkStart w:id="215" w:name="_Toc173240066"/>
    </w:p>
    <w:p w14:paraId="1AD8EB7D" w14:textId="07AC11BF" w:rsidR="00543428" w:rsidRPr="009D0E24" w:rsidRDefault="00543428" w:rsidP="000E5B59">
      <w:pPr>
        <w:pStyle w:val="Nadpis2"/>
        <w:rPr>
          <w:rFonts w:cstheme="majorBidi"/>
          <w:sz w:val="32"/>
          <w:szCs w:val="36"/>
        </w:rPr>
      </w:pPr>
      <w:proofErr w:type="spellStart"/>
      <w:r w:rsidRPr="009D0E24">
        <w:rPr>
          <w:sz w:val="32"/>
          <w:szCs w:val="36"/>
        </w:rPr>
        <w:t>Multimodalita</w:t>
      </w:r>
      <w:bookmarkEnd w:id="215"/>
      <w:proofErr w:type="spellEnd"/>
    </w:p>
    <w:p w14:paraId="0ECEEAF6" w14:textId="1ADEE704"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Doprava může mít různé formy, jednotlivé druhy dopravy se navzájem odlišují, každý z</w:t>
      </w:r>
      <w:r w:rsidR="00CF2351" w:rsidRPr="00B07D79">
        <w:rPr>
          <w:rFonts w:asciiTheme="minorHAnsi" w:hAnsiTheme="minorHAnsi" w:cs="Arial"/>
        </w:rPr>
        <w:t> </w:t>
      </w:r>
      <w:r w:rsidRPr="00B07D79">
        <w:rPr>
          <w:rFonts w:asciiTheme="minorHAnsi" w:hAnsiTheme="minorHAnsi" w:cs="Arial"/>
        </w:rPr>
        <w:t>nich má své výhody a</w:t>
      </w:r>
      <w:r w:rsidR="00CF2351" w:rsidRPr="00B07D79">
        <w:rPr>
          <w:rFonts w:asciiTheme="minorHAnsi" w:hAnsiTheme="minorHAnsi" w:cs="Arial"/>
        </w:rPr>
        <w:t> </w:t>
      </w:r>
      <w:r w:rsidRPr="00B07D79">
        <w:rPr>
          <w:rFonts w:asciiTheme="minorHAnsi" w:hAnsiTheme="minorHAnsi" w:cs="Arial"/>
        </w:rPr>
        <w:t>nevýhody, oblasti vhodného a</w:t>
      </w:r>
      <w:r w:rsidR="00CF2351" w:rsidRPr="00B07D79">
        <w:rPr>
          <w:rFonts w:asciiTheme="minorHAnsi" w:hAnsiTheme="minorHAnsi" w:cs="Arial"/>
        </w:rPr>
        <w:t> </w:t>
      </w:r>
      <w:r w:rsidRPr="00B07D79">
        <w:rPr>
          <w:rFonts w:asciiTheme="minorHAnsi" w:hAnsiTheme="minorHAnsi" w:cs="Arial"/>
        </w:rPr>
        <w:t>nevhodného použití. Mezi jednotlivými druhy dopravy v</w:t>
      </w:r>
      <w:r w:rsidR="00CF2351" w:rsidRPr="00B07D79">
        <w:rPr>
          <w:rFonts w:asciiTheme="minorHAnsi" w:hAnsiTheme="minorHAnsi" w:cs="Arial"/>
        </w:rPr>
        <w:t> </w:t>
      </w:r>
      <w:r w:rsidRPr="00B07D79">
        <w:rPr>
          <w:rFonts w:asciiTheme="minorHAnsi" w:hAnsiTheme="minorHAnsi" w:cs="Arial"/>
        </w:rPr>
        <w:t>minulosti vznikly konkurenční vztahy motivované snahou nabídnout nejnižší cenu a</w:t>
      </w:r>
      <w:r w:rsidR="00CF2351" w:rsidRPr="00B07D79">
        <w:rPr>
          <w:rFonts w:asciiTheme="minorHAnsi" w:hAnsiTheme="minorHAnsi" w:cs="Arial"/>
        </w:rPr>
        <w:t> </w:t>
      </w:r>
      <w:r w:rsidRPr="00B07D79">
        <w:rPr>
          <w:rFonts w:asciiTheme="minorHAnsi" w:hAnsiTheme="minorHAnsi" w:cs="Arial"/>
        </w:rPr>
        <w:t>získat přepravní zakázku. Moderní přístup k</w:t>
      </w:r>
      <w:r w:rsidR="00CF2351" w:rsidRPr="00B07D79">
        <w:rPr>
          <w:rFonts w:asciiTheme="minorHAnsi" w:hAnsiTheme="minorHAnsi" w:cs="Arial"/>
        </w:rPr>
        <w:t> </w:t>
      </w:r>
      <w:r w:rsidRPr="00B07D79">
        <w:rPr>
          <w:rFonts w:asciiTheme="minorHAnsi" w:hAnsiTheme="minorHAnsi" w:cs="Arial"/>
        </w:rPr>
        <w:t>plnění přepravních úloh není založen na konkurenci jednotlivých druhů dopravy, ale na kooperaci a</w:t>
      </w:r>
      <w:r w:rsidR="00CF2351" w:rsidRPr="00B07D79">
        <w:rPr>
          <w:rFonts w:asciiTheme="minorHAnsi" w:hAnsiTheme="minorHAnsi" w:cs="Arial"/>
        </w:rPr>
        <w:t> </w:t>
      </w:r>
      <w:r w:rsidRPr="00B07D79">
        <w:rPr>
          <w:rFonts w:asciiTheme="minorHAnsi" w:hAnsiTheme="minorHAnsi" w:cs="Arial"/>
        </w:rPr>
        <w:t>komplementárnosti, tedy na schopnostech spolupracovat a</w:t>
      </w:r>
      <w:r w:rsidR="00CF2351" w:rsidRPr="00B07D79">
        <w:rPr>
          <w:rFonts w:asciiTheme="minorHAnsi" w:hAnsiTheme="minorHAnsi" w:cs="Arial"/>
        </w:rPr>
        <w:t> </w:t>
      </w:r>
      <w:r w:rsidRPr="00B07D79">
        <w:rPr>
          <w:rFonts w:asciiTheme="minorHAnsi" w:hAnsiTheme="minorHAnsi" w:cs="Arial"/>
        </w:rPr>
        <w:t xml:space="preserve">doplňovat se. </w:t>
      </w:r>
    </w:p>
    <w:p w14:paraId="33189CF6" w14:textId="2AFD9450"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Cílem je, aby každý druh dopravy byl používán tam, kde převažují jeho přednosti nad nevýhodami. Železniční doprava je vhodná pro silné a</w:t>
      </w:r>
      <w:r w:rsidR="00CF2351" w:rsidRPr="00B07D79">
        <w:rPr>
          <w:rFonts w:asciiTheme="minorHAnsi" w:hAnsiTheme="minorHAnsi" w:cs="Arial"/>
        </w:rPr>
        <w:t> </w:t>
      </w:r>
      <w:r w:rsidRPr="00B07D79">
        <w:rPr>
          <w:rFonts w:asciiTheme="minorHAnsi" w:hAnsiTheme="minorHAnsi" w:cs="Arial"/>
        </w:rPr>
        <w:t>pravidelné přepravní proudy, silniční doprava dokáže díky své flexibilitě zajistit slabší a</w:t>
      </w:r>
      <w:r w:rsidR="00CF2351" w:rsidRPr="00B07D79">
        <w:rPr>
          <w:rFonts w:asciiTheme="minorHAnsi" w:hAnsiTheme="minorHAnsi" w:cs="Arial"/>
        </w:rPr>
        <w:t> </w:t>
      </w:r>
      <w:r w:rsidRPr="00B07D79">
        <w:rPr>
          <w:rFonts w:asciiTheme="minorHAnsi" w:hAnsiTheme="minorHAnsi" w:cs="Arial"/>
        </w:rPr>
        <w:t>nepravidelné přepravní proudy. Trendem je kombinovaná doprava železnice, silnice a</w:t>
      </w:r>
      <w:r w:rsidR="00CF2351" w:rsidRPr="00B07D79">
        <w:rPr>
          <w:rFonts w:asciiTheme="minorHAnsi" w:hAnsiTheme="minorHAnsi" w:cs="Arial"/>
        </w:rPr>
        <w:t> </w:t>
      </w:r>
      <w:r w:rsidRPr="00B07D79">
        <w:rPr>
          <w:rFonts w:asciiTheme="minorHAnsi" w:hAnsiTheme="minorHAnsi" w:cs="Arial"/>
        </w:rPr>
        <w:t>případně vodní doprava. A</w:t>
      </w:r>
      <w:r w:rsidR="00CF2351" w:rsidRPr="00B07D79">
        <w:rPr>
          <w:rFonts w:asciiTheme="minorHAnsi" w:hAnsiTheme="minorHAnsi" w:cs="Arial"/>
        </w:rPr>
        <w:t> </w:t>
      </w:r>
      <w:r w:rsidRPr="00B07D79">
        <w:rPr>
          <w:rFonts w:asciiTheme="minorHAnsi" w:hAnsiTheme="minorHAnsi" w:cs="Arial"/>
        </w:rPr>
        <w:t>to jak v</w:t>
      </w:r>
      <w:r w:rsidR="00CF2351" w:rsidRPr="00B07D79">
        <w:rPr>
          <w:rFonts w:asciiTheme="minorHAnsi" w:hAnsiTheme="minorHAnsi" w:cs="Arial"/>
        </w:rPr>
        <w:t> </w:t>
      </w:r>
      <w:r w:rsidRPr="00B07D79">
        <w:rPr>
          <w:rFonts w:asciiTheme="minorHAnsi" w:hAnsiTheme="minorHAnsi" w:cs="Arial"/>
        </w:rPr>
        <w:t>oblasti přepravy osob, kde železnice efektivně zajišťuje v</w:t>
      </w:r>
      <w:r w:rsidR="00CF2351" w:rsidRPr="00B07D79">
        <w:rPr>
          <w:rFonts w:asciiTheme="minorHAnsi" w:hAnsiTheme="minorHAnsi" w:cs="Arial"/>
        </w:rPr>
        <w:t> </w:t>
      </w:r>
      <w:r w:rsidRPr="00B07D79">
        <w:rPr>
          <w:rFonts w:asciiTheme="minorHAnsi" w:hAnsiTheme="minorHAnsi" w:cs="Arial"/>
        </w:rPr>
        <w:t>dálkové či regionální dopravě silné přepravní proudy v</w:t>
      </w:r>
      <w:r w:rsidR="00CF2351" w:rsidRPr="00B07D79">
        <w:rPr>
          <w:rFonts w:asciiTheme="minorHAnsi" w:hAnsiTheme="minorHAnsi" w:cs="Arial"/>
        </w:rPr>
        <w:t> </w:t>
      </w:r>
      <w:r w:rsidRPr="00B07D79">
        <w:rPr>
          <w:rFonts w:asciiTheme="minorHAnsi" w:hAnsiTheme="minorHAnsi" w:cs="Arial"/>
        </w:rPr>
        <w:t>návaznosti na méně kapacitní formy veřejné hromadné dopravy (autobusy, metro, tramvaje, trolejbusy) i</w:t>
      </w:r>
      <w:r w:rsidR="00CF2351" w:rsidRPr="00B07D79">
        <w:rPr>
          <w:rFonts w:asciiTheme="minorHAnsi" w:hAnsiTheme="minorHAnsi" w:cs="Arial"/>
        </w:rPr>
        <w:t> </w:t>
      </w:r>
      <w:r w:rsidRPr="00B07D79">
        <w:rPr>
          <w:rFonts w:asciiTheme="minorHAnsi" w:hAnsiTheme="minorHAnsi" w:cs="Arial"/>
        </w:rPr>
        <w:t>v návaznosti na individuální dopravu (automobily, jízdní kola a</w:t>
      </w:r>
      <w:r w:rsidR="00CF2351" w:rsidRPr="00B07D79">
        <w:rPr>
          <w:rFonts w:asciiTheme="minorHAnsi" w:hAnsiTheme="minorHAnsi" w:cs="Arial"/>
        </w:rPr>
        <w:t> </w:t>
      </w:r>
      <w:r w:rsidRPr="00B07D79">
        <w:rPr>
          <w:rFonts w:asciiTheme="minorHAnsi" w:hAnsiTheme="minorHAnsi" w:cs="Arial"/>
        </w:rPr>
        <w:t>podobně – parkoviště P</w:t>
      </w:r>
      <w:r w:rsidR="00CF2351" w:rsidRPr="00B07D79">
        <w:rPr>
          <w:rFonts w:asciiTheme="minorHAnsi" w:hAnsiTheme="minorHAnsi" w:cs="Arial"/>
        </w:rPr>
        <w:t> </w:t>
      </w:r>
      <w:r w:rsidRPr="00B07D79">
        <w:rPr>
          <w:rFonts w:asciiTheme="minorHAnsi" w:hAnsiTheme="minorHAnsi" w:cs="Arial"/>
        </w:rPr>
        <w:t>+ R</w:t>
      </w:r>
      <w:r w:rsidR="00CF2351" w:rsidRPr="00B07D79">
        <w:rPr>
          <w:rFonts w:asciiTheme="minorHAnsi" w:hAnsiTheme="minorHAnsi" w:cs="Arial"/>
        </w:rPr>
        <w:t> </w:t>
      </w:r>
      <w:r w:rsidRPr="00B07D79">
        <w:rPr>
          <w:rFonts w:asciiTheme="minorHAnsi" w:hAnsiTheme="minorHAnsi" w:cs="Arial"/>
        </w:rPr>
        <w:t>a půjčovny vozidel), i</w:t>
      </w:r>
      <w:r w:rsidR="00CF2351" w:rsidRPr="00B07D79">
        <w:rPr>
          <w:rFonts w:asciiTheme="minorHAnsi" w:hAnsiTheme="minorHAnsi" w:cs="Arial"/>
        </w:rPr>
        <w:t> </w:t>
      </w:r>
      <w:r w:rsidRPr="00B07D79">
        <w:rPr>
          <w:rFonts w:asciiTheme="minorHAnsi" w:hAnsiTheme="minorHAnsi" w:cs="Arial"/>
        </w:rPr>
        <w:t>v nákladní dopravě, kde železnice efektivně zajišťuje dopravu těžkého vlaku na velkou vzdálenost mezi multimodálními terminály a</w:t>
      </w:r>
      <w:r w:rsidR="00CF2351" w:rsidRPr="00B07D79">
        <w:rPr>
          <w:rFonts w:asciiTheme="minorHAnsi" w:hAnsiTheme="minorHAnsi" w:cs="Arial"/>
        </w:rPr>
        <w:t> </w:t>
      </w:r>
      <w:r w:rsidRPr="00B07D79">
        <w:rPr>
          <w:rFonts w:asciiTheme="minorHAnsi" w:hAnsiTheme="minorHAnsi" w:cs="Arial"/>
        </w:rPr>
        <w:t>operativní silniční doprava zajišťuje svoz a</w:t>
      </w:r>
      <w:r w:rsidR="00CF2351" w:rsidRPr="00B07D79">
        <w:rPr>
          <w:rFonts w:asciiTheme="minorHAnsi" w:hAnsiTheme="minorHAnsi" w:cs="Arial"/>
        </w:rPr>
        <w:t> </w:t>
      </w:r>
      <w:r w:rsidRPr="00B07D79">
        <w:rPr>
          <w:rFonts w:asciiTheme="minorHAnsi" w:hAnsiTheme="minorHAnsi" w:cs="Arial"/>
        </w:rPr>
        <w:t>rozvoz zásilek na konci vlakové linky, tzn první a</w:t>
      </w:r>
      <w:r w:rsidR="00CF2351" w:rsidRPr="00B07D79">
        <w:rPr>
          <w:rFonts w:asciiTheme="minorHAnsi" w:hAnsiTheme="minorHAnsi" w:cs="Arial"/>
        </w:rPr>
        <w:t> </w:t>
      </w:r>
      <w:r w:rsidRPr="00B07D79">
        <w:rPr>
          <w:rFonts w:asciiTheme="minorHAnsi" w:hAnsiTheme="minorHAnsi" w:cs="Arial"/>
        </w:rPr>
        <w:t>poslední míle.</w:t>
      </w:r>
    </w:p>
    <w:p w14:paraId="06D327B6" w14:textId="4BBD314B"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lastRenderedPageBreak/>
        <w:t>Jde o</w:t>
      </w:r>
      <w:r w:rsidR="00CF2351" w:rsidRPr="00B07D79">
        <w:rPr>
          <w:rFonts w:asciiTheme="minorHAnsi" w:hAnsiTheme="minorHAnsi" w:cs="Arial"/>
        </w:rPr>
        <w:t> </w:t>
      </w:r>
      <w:r w:rsidRPr="00B07D79">
        <w:rPr>
          <w:rFonts w:asciiTheme="minorHAnsi" w:hAnsiTheme="minorHAnsi" w:cs="Arial"/>
        </w:rPr>
        <w:t>racionální dělbu práce. Síť železnic</w:t>
      </w:r>
      <w:r w:rsidRPr="00B07D79">
        <w:rPr>
          <w:rStyle w:val="Znakapoznpodarou"/>
          <w:rFonts w:asciiTheme="minorHAnsi" w:hAnsiTheme="minorHAnsi" w:cs="Arial"/>
        </w:rPr>
        <w:footnoteReference w:id="13"/>
      </w:r>
      <w:r w:rsidRPr="00B07D79">
        <w:rPr>
          <w:rFonts w:asciiTheme="minorHAnsi" w:hAnsiTheme="minorHAnsi" w:cs="Arial"/>
        </w:rPr>
        <w:t xml:space="preserve"> je nedostačující k</w:t>
      </w:r>
      <w:r w:rsidR="00CF2351" w:rsidRPr="00B07D79">
        <w:rPr>
          <w:rFonts w:asciiTheme="minorHAnsi" w:hAnsiTheme="minorHAnsi" w:cs="Arial"/>
        </w:rPr>
        <w:t> </w:t>
      </w:r>
      <w:r w:rsidRPr="00B07D79">
        <w:rPr>
          <w:rFonts w:asciiTheme="minorHAnsi" w:hAnsiTheme="minorHAnsi" w:cs="Arial"/>
        </w:rPr>
        <w:t>tomu, aby jak v</w:t>
      </w:r>
      <w:r w:rsidR="00CF2351" w:rsidRPr="00B07D79">
        <w:rPr>
          <w:rFonts w:asciiTheme="minorHAnsi" w:hAnsiTheme="minorHAnsi" w:cs="Arial"/>
        </w:rPr>
        <w:t> </w:t>
      </w:r>
      <w:r w:rsidRPr="00B07D79">
        <w:rPr>
          <w:rFonts w:asciiTheme="minorHAnsi" w:hAnsiTheme="minorHAnsi" w:cs="Arial"/>
        </w:rPr>
        <w:t>oblasti přepravy osob, tak v</w:t>
      </w:r>
      <w:r w:rsidR="00CF2351" w:rsidRPr="00B07D79">
        <w:rPr>
          <w:rFonts w:asciiTheme="minorHAnsi" w:hAnsiTheme="minorHAnsi" w:cs="Arial"/>
        </w:rPr>
        <w:t> </w:t>
      </w:r>
      <w:r w:rsidRPr="00B07D79">
        <w:rPr>
          <w:rFonts w:asciiTheme="minorHAnsi" w:hAnsiTheme="minorHAnsi" w:cs="Arial"/>
        </w:rPr>
        <w:t>oblasti přepravy věcí zvládla zajistit plošnou obsluhu území ČR. To je posláním automobilové dopravy, která k</w:t>
      </w:r>
      <w:r w:rsidR="00CF2351" w:rsidRPr="00B07D79">
        <w:rPr>
          <w:rFonts w:asciiTheme="minorHAnsi" w:hAnsiTheme="minorHAnsi" w:cs="Arial"/>
        </w:rPr>
        <w:t> </w:t>
      </w:r>
      <w:r w:rsidRPr="00B07D79">
        <w:rPr>
          <w:rFonts w:asciiTheme="minorHAnsi" w:hAnsiTheme="minorHAnsi" w:cs="Arial"/>
        </w:rPr>
        <w:t>tomu disponuje velmi rozsáhlou sítí silnic</w:t>
      </w:r>
      <w:r w:rsidRPr="00B07D79">
        <w:rPr>
          <w:rStyle w:val="Znakapoznpodarou"/>
          <w:rFonts w:asciiTheme="minorHAnsi" w:hAnsiTheme="minorHAnsi" w:cs="Arial"/>
        </w:rPr>
        <w:footnoteReference w:id="14"/>
      </w:r>
      <w:r w:rsidRPr="00B07D79">
        <w:rPr>
          <w:rFonts w:asciiTheme="minorHAnsi" w:hAnsiTheme="minorHAnsi" w:cs="Arial"/>
        </w:rPr>
        <w:t xml:space="preserve"> a</w:t>
      </w:r>
      <w:r w:rsidR="00CF2351" w:rsidRPr="00B07D79">
        <w:rPr>
          <w:rFonts w:asciiTheme="minorHAnsi" w:hAnsiTheme="minorHAnsi" w:cs="Arial"/>
        </w:rPr>
        <w:t> </w:t>
      </w:r>
      <w:r w:rsidRPr="00B07D79">
        <w:rPr>
          <w:rFonts w:asciiTheme="minorHAnsi" w:hAnsiTheme="minorHAnsi" w:cs="Arial"/>
        </w:rPr>
        <w:t>místních komunikací. Avšak automobilová doprava je z</w:t>
      </w:r>
      <w:r w:rsidR="00CF2351" w:rsidRPr="00B07D79">
        <w:rPr>
          <w:rFonts w:asciiTheme="minorHAnsi" w:hAnsiTheme="minorHAnsi" w:cs="Arial"/>
        </w:rPr>
        <w:t> </w:t>
      </w:r>
      <w:r w:rsidRPr="00B07D79">
        <w:rPr>
          <w:rFonts w:asciiTheme="minorHAnsi" w:hAnsiTheme="minorHAnsi" w:cs="Arial"/>
        </w:rPr>
        <w:t>důvodu vysokého valivého odporu pneumatik po vozovce (pneumatiky z</w:t>
      </w:r>
      <w:r w:rsidR="00CF2351" w:rsidRPr="00B07D79">
        <w:rPr>
          <w:rFonts w:asciiTheme="minorHAnsi" w:hAnsiTheme="minorHAnsi" w:cs="Arial"/>
        </w:rPr>
        <w:t> </w:t>
      </w:r>
      <w:r w:rsidRPr="00B07D79">
        <w:rPr>
          <w:rFonts w:asciiTheme="minorHAnsi" w:hAnsiTheme="minorHAnsi" w:cs="Arial"/>
        </w:rPr>
        <w:t>bezpečnostních důvodů nelze optimalizovat na nízký odpor valení z</w:t>
      </w:r>
      <w:r w:rsidR="00CF2351" w:rsidRPr="00B07D79">
        <w:rPr>
          <w:rFonts w:asciiTheme="minorHAnsi" w:hAnsiTheme="minorHAnsi" w:cs="Arial"/>
        </w:rPr>
        <w:t> </w:t>
      </w:r>
      <w:r w:rsidRPr="00B07D79">
        <w:rPr>
          <w:rFonts w:asciiTheme="minorHAnsi" w:hAnsiTheme="minorHAnsi" w:cs="Arial"/>
        </w:rPr>
        <w:t>důvodu zajištění směrového vedení vozidla) a</w:t>
      </w:r>
      <w:r w:rsidR="00CF2351" w:rsidRPr="00B07D79">
        <w:rPr>
          <w:rFonts w:asciiTheme="minorHAnsi" w:hAnsiTheme="minorHAnsi" w:cs="Arial"/>
        </w:rPr>
        <w:t> </w:t>
      </w:r>
      <w:r w:rsidRPr="00B07D79">
        <w:rPr>
          <w:rFonts w:asciiTheme="minorHAnsi" w:hAnsiTheme="minorHAnsi" w:cs="Arial"/>
        </w:rPr>
        <w:t>z důvodu vysokého aerodynamického odporu (automobily jsou krátké a</w:t>
      </w:r>
      <w:r w:rsidR="00CF2351" w:rsidRPr="00B07D79">
        <w:rPr>
          <w:rFonts w:asciiTheme="minorHAnsi" w:hAnsiTheme="minorHAnsi" w:cs="Arial"/>
        </w:rPr>
        <w:t> </w:t>
      </w:r>
      <w:r w:rsidRPr="00B07D79">
        <w:rPr>
          <w:rFonts w:asciiTheme="minorHAnsi" w:hAnsiTheme="minorHAnsi" w:cs="Arial"/>
        </w:rPr>
        <w:t>nevyužívají jízdu v</w:t>
      </w:r>
      <w:r w:rsidR="00CF2351" w:rsidRPr="00B07D79">
        <w:rPr>
          <w:rFonts w:asciiTheme="minorHAnsi" w:hAnsiTheme="minorHAnsi" w:cs="Arial"/>
        </w:rPr>
        <w:t> </w:t>
      </w:r>
      <w:r w:rsidRPr="00B07D79">
        <w:rPr>
          <w:rFonts w:asciiTheme="minorHAnsi" w:hAnsiTheme="minorHAnsi" w:cs="Arial"/>
        </w:rPr>
        <w:t>těsném zákrytu, každý z</w:t>
      </w:r>
      <w:r w:rsidR="00CF2351" w:rsidRPr="00B07D79">
        <w:rPr>
          <w:rFonts w:asciiTheme="minorHAnsi" w:hAnsiTheme="minorHAnsi" w:cs="Arial"/>
        </w:rPr>
        <w:t> </w:t>
      </w:r>
      <w:r w:rsidRPr="00B07D79">
        <w:rPr>
          <w:rFonts w:asciiTheme="minorHAnsi" w:hAnsiTheme="minorHAnsi" w:cs="Arial"/>
        </w:rPr>
        <w:t>nich samostatně překonává odpor prostředí) energeticky náročnější než kolejová doprava. Dále automobilová doprava nedisponuje liniovým elektrickým napájením, tedy musí používat mobilní zásobníky energie umístěné v</w:t>
      </w:r>
      <w:r w:rsidR="00CF2351" w:rsidRPr="00B07D79">
        <w:rPr>
          <w:rFonts w:asciiTheme="minorHAnsi" w:hAnsiTheme="minorHAnsi" w:cs="Arial"/>
        </w:rPr>
        <w:t> </w:t>
      </w:r>
      <w:r w:rsidRPr="00B07D79">
        <w:rPr>
          <w:rFonts w:asciiTheme="minorHAnsi" w:hAnsiTheme="minorHAnsi" w:cs="Arial"/>
        </w:rPr>
        <w:t>každém silničním vozidle. Proto není smysluplné používat silniční dopravu na silné a</w:t>
      </w:r>
      <w:r w:rsidR="00CF2351" w:rsidRPr="00B07D79">
        <w:rPr>
          <w:rFonts w:asciiTheme="minorHAnsi" w:hAnsiTheme="minorHAnsi" w:cs="Arial"/>
        </w:rPr>
        <w:t> </w:t>
      </w:r>
      <w:r w:rsidRPr="00B07D79">
        <w:rPr>
          <w:rFonts w:asciiTheme="minorHAnsi" w:hAnsiTheme="minorHAnsi" w:cs="Arial"/>
        </w:rPr>
        <w:t>pravidelné přepravní proudy, ty zvládne efektivněji obsloužit kolejová doprava. Z</w:t>
      </w:r>
      <w:r w:rsidR="00CF2351" w:rsidRPr="00B07D79">
        <w:rPr>
          <w:rFonts w:asciiTheme="minorHAnsi" w:hAnsiTheme="minorHAnsi" w:cs="Arial"/>
        </w:rPr>
        <w:t> </w:t>
      </w:r>
      <w:r w:rsidRPr="00B07D79">
        <w:rPr>
          <w:rFonts w:asciiTheme="minorHAnsi" w:hAnsiTheme="minorHAnsi" w:cs="Arial"/>
        </w:rPr>
        <w:t>výše uvedeného vyplývá, že pro silné a</w:t>
      </w:r>
      <w:r w:rsidR="00CF2351" w:rsidRPr="00B07D79">
        <w:rPr>
          <w:rFonts w:asciiTheme="minorHAnsi" w:hAnsiTheme="minorHAnsi" w:cs="Arial"/>
        </w:rPr>
        <w:t> </w:t>
      </w:r>
      <w:r w:rsidRPr="00B07D79">
        <w:rPr>
          <w:rFonts w:asciiTheme="minorHAnsi" w:hAnsiTheme="minorHAnsi" w:cs="Arial"/>
        </w:rPr>
        <w:t>pravidelné přepravní proudy má smysl využívat kolejovou dopravu a</w:t>
      </w:r>
      <w:r w:rsidR="00CF2351" w:rsidRPr="00B07D79">
        <w:rPr>
          <w:rFonts w:asciiTheme="minorHAnsi" w:hAnsiTheme="minorHAnsi" w:cs="Arial"/>
        </w:rPr>
        <w:t> </w:t>
      </w:r>
      <w:r w:rsidRPr="00B07D79">
        <w:rPr>
          <w:rFonts w:asciiTheme="minorHAnsi" w:hAnsiTheme="minorHAnsi" w:cs="Arial"/>
        </w:rPr>
        <w:t>budovat její infrastrukturu tam, kde chybí, nebo kde není kvalitativně nebo kapacitně nedostačující pro zajištění adekvátní přepravní poptávky. Využívání kolejové dopravy je podloženo technickou, energetickou i</w:t>
      </w:r>
      <w:r w:rsidR="00CF2351" w:rsidRPr="00B07D79">
        <w:rPr>
          <w:rFonts w:asciiTheme="minorHAnsi" w:hAnsiTheme="minorHAnsi" w:cs="Arial"/>
        </w:rPr>
        <w:t> </w:t>
      </w:r>
      <w:r w:rsidRPr="00B07D79">
        <w:rPr>
          <w:rFonts w:asciiTheme="minorHAnsi" w:hAnsiTheme="minorHAnsi" w:cs="Arial"/>
        </w:rPr>
        <w:t>ekonomickou logikou.</w:t>
      </w:r>
    </w:p>
    <w:p w14:paraId="3DB5F5E7" w14:textId="0FF20A56" w:rsidR="00294FD1" w:rsidRPr="009D0E24" w:rsidRDefault="00294FD1" w:rsidP="000E5B59">
      <w:pPr>
        <w:pStyle w:val="Nadpis2"/>
        <w:rPr>
          <w:sz w:val="32"/>
          <w:szCs w:val="36"/>
        </w:rPr>
      </w:pPr>
      <w:bookmarkStart w:id="216" w:name="_Toc173240067"/>
      <w:r w:rsidRPr="009D0E24">
        <w:rPr>
          <w:sz w:val="32"/>
          <w:szCs w:val="36"/>
        </w:rPr>
        <w:t xml:space="preserve">Baterie </w:t>
      </w:r>
      <w:r w:rsidR="00231292" w:rsidRPr="009D0E24">
        <w:rPr>
          <w:sz w:val="32"/>
          <w:szCs w:val="36"/>
        </w:rPr>
        <w:t xml:space="preserve">a její </w:t>
      </w:r>
      <w:r w:rsidRPr="009D0E24">
        <w:rPr>
          <w:sz w:val="32"/>
          <w:szCs w:val="36"/>
        </w:rPr>
        <w:t>životnost</w:t>
      </w:r>
      <w:bookmarkEnd w:id="216"/>
    </w:p>
    <w:p w14:paraId="278EC941" w14:textId="56C0AA38" w:rsidR="006E6918" w:rsidRPr="00B07D79" w:rsidRDefault="006E6918" w:rsidP="00B07D79">
      <w:pPr>
        <w:spacing w:line="276" w:lineRule="auto"/>
        <w:jc w:val="both"/>
        <w:rPr>
          <w:rFonts w:asciiTheme="minorHAnsi" w:hAnsiTheme="minorHAnsi"/>
        </w:rPr>
      </w:pPr>
      <w:r w:rsidRPr="00B07D79">
        <w:rPr>
          <w:rFonts w:asciiTheme="minorHAnsi" w:hAnsiTheme="minorHAnsi"/>
        </w:rPr>
        <w:t>Výrobci garantují</w:t>
      </w:r>
      <w:r w:rsidR="00231292" w:rsidRPr="00B07D79">
        <w:rPr>
          <w:rFonts w:asciiTheme="minorHAnsi" w:hAnsiTheme="minorHAnsi"/>
        </w:rPr>
        <w:t xml:space="preserve">, že </w:t>
      </w:r>
      <w:r w:rsidRPr="00B07D79">
        <w:rPr>
          <w:rFonts w:asciiTheme="minorHAnsi" w:hAnsiTheme="minorHAnsi"/>
        </w:rPr>
        <w:t>kapacita neklesne pod 70 % po dobu minimálně 8 let nebo 160 000 km (podle toho, co nastane dříve). V</w:t>
      </w:r>
      <w:r w:rsidR="00CF2351" w:rsidRPr="00B07D79">
        <w:rPr>
          <w:rFonts w:asciiTheme="minorHAnsi" w:hAnsiTheme="minorHAnsi"/>
        </w:rPr>
        <w:t> </w:t>
      </w:r>
      <w:r w:rsidRPr="00B07D79">
        <w:rPr>
          <w:rFonts w:asciiTheme="minorHAnsi" w:hAnsiTheme="minorHAnsi"/>
        </w:rPr>
        <w:t>případě nečekaného selhání není vždy nutné provádět nákladnou výměnu celé baterie. Zpravidla postačí výměna její části, tedy takzvaných modulů. U</w:t>
      </w:r>
      <w:r w:rsidR="00CF2351" w:rsidRPr="00B07D79">
        <w:rPr>
          <w:rFonts w:asciiTheme="minorHAnsi" w:hAnsiTheme="minorHAnsi"/>
        </w:rPr>
        <w:t> </w:t>
      </w:r>
      <w:r w:rsidRPr="00B07D79">
        <w:rPr>
          <w:rFonts w:asciiTheme="minorHAnsi" w:hAnsiTheme="minorHAnsi"/>
        </w:rPr>
        <w:t>nových modelů v</w:t>
      </w:r>
      <w:r w:rsidR="00CF2351" w:rsidRPr="00B07D79">
        <w:rPr>
          <w:rFonts w:asciiTheme="minorHAnsi" w:hAnsiTheme="minorHAnsi"/>
        </w:rPr>
        <w:t> </w:t>
      </w:r>
      <w:r w:rsidRPr="00B07D79">
        <w:rPr>
          <w:rFonts w:asciiTheme="minorHAnsi" w:hAnsiTheme="minorHAnsi"/>
        </w:rPr>
        <w:t>následujících letech jsou avizovány baterie s</w:t>
      </w:r>
      <w:r w:rsidR="00CF2351" w:rsidRPr="00B07D79">
        <w:rPr>
          <w:rFonts w:asciiTheme="minorHAnsi" w:hAnsiTheme="minorHAnsi"/>
        </w:rPr>
        <w:t> </w:t>
      </w:r>
      <w:r w:rsidRPr="00B07D79">
        <w:rPr>
          <w:rFonts w:asciiTheme="minorHAnsi" w:hAnsiTheme="minorHAnsi"/>
        </w:rPr>
        <w:t>životností 15 let</w:t>
      </w:r>
      <w:r w:rsidR="00231292" w:rsidRPr="00B07D79">
        <w:rPr>
          <w:rFonts w:asciiTheme="minorHAnsi" w:hAnsiTheme="minorHAnsi"/>
        </w:rPr>
        <w:t>.</w:t>
      </w:r>
      <w:r w:rsidRPr="00B07D79">
        <w:rPr>
          <w:rFonts w:asciiTheme="minorHAnsi" w:hAnsiTheme="minorHAnsi"/>
        </w:rPr>
        <w:t xml:space="preserve"> </w:t>
      </w:r>
    </w:p>
    <w:p w14:paraId="2BCB8693" w14:textId="6F3E88C1" w:rsidR="006E6918" w:rsidRPr="00B07D79" w:rsidRDefault="006E6918" w:rsidP="00B07D79">
      <w:pPr>
        <w:spacing w:line="276" w:lineRule="auto"/>
        <w:jc w:val="both"/>
        <w:rPr>
          <w:rFonts w:asciiTheme="minorHAnsi" w:hAnsiTheme="minorHAnsi"/>
        </w:rPr>
      </w:pPr>
      <w:r w:rsidRPr="00B07D79">
        <w:rPr>
          <w:rFonts w:asciiTheme="minorHAnsi" w:hAnsiTheme="minorHAnsi"/>
        </w:rPr>
        <w:t>Baterie s</w:t>
      </w:r>
      <w:r w:rsidR="00CF2351" w:rsidRPr="00B07D79">
        <w:rPr>
          <w:rFonts w:asciiTheme="minorHAnsi" w:hAnsiTheme="minorHAnsi"/>
        </w:rPr>
        <w:t> </w:t>
      </w:r>
      <w:r w:rsidRPr="00B07D79">
        <w:rPr>
          <w:rFonts w:asciiTheme="minorHAnsi" w:hAnsiTheme="minorHAnsi"/>
        </w:rPr>
        <w:t>nižší kapacitou mohou ještě dlouhou řadu let sloužit v</w:t>
      </w:r>
      <w:r w:rsidR="00CF2351" w:rsidRPr="00B07D79">
        <w:rPr>
          <w:rFonts w:asciiTheme="minorHAnsi" w:hAnsiTheme="minorHAnsi"/>
        </w:rPr>
        <w:t> </w:t>
      </w:r>
      <w:r w:rsidRPr="00B07D79">
        <w:rPr>
          <w:rFonts w:asciiTheme="minorHAnsi" w:hAnsiTheme="minorHAnsi"/>
        </w:rPr>
        <w:t>méně náročném prostředí, například pro ukládání elektrické energie v</w:t>
      </w:r>
      <w:r w:rsidR="00CF2351" w:rsidRPr="00B07D79">
        <w:rPr>
          <w:rFonts w:asciiTheme="minorHAnsi" w:hAnsiTheme="minorHAnsi"/>
        </w:rPr>
        <w:t> </w:t>
      </w:r>
      <w:r w:rsidRPr="00B07D79">
        <w:rPr>
          <w:rFonts w:asciiTheme="minorHAnsi" w:hAnsiTheme="minorHAnsi"/>
        </w:rPr>
        <w:t>domácnosti (jako bateriové uložiště</w:t>
      </w:r>
      <w:r w:rsidR="008B25F4" w:rsidRPr="00B07D79">
        <w:rPr>
          <w:rFonts w:asciiTheme="minorHAnsi" w:hAnsiTheme="minorHAnsi"/>
        </w:rPr>
        <w:t>,</w:t>
      </w:r>
      <w:r w:rsidRPr="00B07D79">
        <w:rPr>
          <w:rFonts w:asciiTheme="minorHAnsi" w:hAnsiTheme="minorHAnsi"/>
        </w:rPr>
        <w:t xml:space="preserve"> pokud používáte </w:t>
      </w:r>
      <w:r w:rsidR="008B25F4" w:rsidRPr="00B07D79">
        <w:rPr>
          <w:rFonts w:asciiTheme="minorHAnsi" w:hAnsiTheme="minorHAnsi"/>
        </w:rPr>
        <w:t xml:space="preserve">např. </w:t>
      </w:r>
      <w:r w:rsidRPr="00B07D79">
        <w:rPr>
          <w:rFonts w:asciiTheme="minorHAnsi" w:hAnsiTheme="minorHAnsi"/>
        </w:rPr>
        <w:t>solární panely), v</w:t>
      </w:r>
      <w:r w:rsidR="00CF2351" w:rsidRPr="00B07D79">
        <w:rPr>
          <w:rFonts w:asciiTheme="minorHAnsi" w:hAnsiTheme="minorHAnsi"/>
        </w:rPr>
        <w:t> </w:t>
      </w:r>
      <w:r w:rsidRPr="00B07D79">
        <w:rPr>
          <w:rFonts w:asciiTheme="minorHAnsi" w:hAnsiTheme="minorHAnsi"/>
        </w:rPr>
        <w:t>servisních centrech</w:t>
      </w:r>
      <w:r w:rsidR="008B25F4" w:rsidRPr="00B07D79">
        <w:rPr>
          <w:rFonts w:asciiTheme="minorHAnsi" w:hAnsiTheme="minorHAnsi"/>
        </w:rPr>
        <w:t xml:space="preserve">, dobíjecích </w:t>
      </w:r>
      <w:proofErr w:type="spellStart"/>
      <w:r w:rsidR="008B25F4" w:rsidRPr="00B07D79">
        <w:rPr>
          <w:rFonts w:asciiTheme="minorHAnsi" w:hAnsiTheme="minorHAnsi"/>
        </w:rPr>
        <w:t>hubech</w:t>
      </w:r>
      <w:proofErr w:type="spellEnd"/>
      <w:r w:rsidRPr="00B07D79">
        <w:rPr>
          <w:rFonts w:asciiTheme="minorHAnsi" w:hAnsiTheme="minorHAnsi"/>
        </w:rPr>
        <w:t xml:space="preserve"> či továrnách, popř.</w:t>
      </w:r>
      <w:r w:rsidR="00231292" w:rsidRPr="00B07D79">
        <w:rPr>
          <w:rFonts w:asciiTheme="minorHAnsi" w:hAnsiTheme="minorHAnsi"/>
        </w:rPr>
        <w:t> </w:t>
      </w:r>
      <w:r w:rsidRPr="00B07D79">
        <w:rPr>
          <w:rFonts w:asciiTheme="minorHAnsi" w:hAnsiTheme="minorHAnsi"/>
        </w:rPr>
        <w:t>jako prvky tzv. chytrých sítí. V</w:t>
      </w:r>
      <w:r w:rsidR="00CF2351" w:rsidRPr="00B07D79">
        <w:rPr>
          <w:rFonts w:asciiTheme="minorHAnsi" w:hAnsiTheme="minorHAnsi"/>
        </w:rPr>
        <w:t> </w:t>
      </w:r>
      <w:r w:rsidRPr="00B07D79">
        <w:rPr>
          <w:rFonts w:asciiTheme="minorHAnsi" w:hAnsiTheme="minorHAnsi"/>
        </w:rPr>
        <w:t xml:space="preserve">případě, že již není </w:t>
      </w:r>
      <w:r w:rsidR="008B25F4" w:rsidRPr="00B07D79">
        <w:rPr>
          <w:rFonts w:asciiTheme="minorHAnsi" w:hAnsiTheme="minorHAnsi"/>
        </w:rPr>
        <w:t xml:space="preserve">baterie </w:t>
      </w:r>
      <w:r w:rsidRPr="00B07D79">
        <w:rPr>
          <w:rFonts w:asciiTheme="minorHAnsi" w:hAnsiTheme="minorHAnsi"/>
        </w:rPr>
        <w:t xml:space="preserve">použitelná ani tímto způsobem, je </w:t>
      </w:r>
      <w:r w:rsidR="008B25F4" w:rsidRPr="00B07D79">
        <w:rPr>
          <w:rFonts w:asciiTheme="minorHAnsi" w:hAnsiTheme="minorHAnsi"/>
        </w:rPr>
        <w:t>cca z</w:t>
      </w:r>
      <w:r w:rsidR="00CF2351" w:rsidRPr="00B07D79">
        <w:rPr>
          <w:rFonts w:asciiTheme="minorHAnsi" w:hAnsiTheme="minorHAnsi"/>
        </w:rPr>
        <w:t> </w:t>
      </w:r>
      <w:r w:rsidRPr="00B07D79">
        <w:rPr>
          <w:rFonts w:asciiTheme="minorHAnsi" w:hAnsiTheme="minorHAnsi"/>
        </w:rPr>
        <w:t>96 % recyklovatelná. Jsou budovány kapacity na recyklaci lithiových baterií</w:t>
      </w:r>
      <w:r w:rsidR="008B25F4" w:rsidRPr="00B07D79">
        <w:rPr>
          <w:rFonts w:asciiTheme="minorHAnsi" w:hAnsiTheme="minorHAnsi"/>
        </w:rPr>
        <w:t xml:space="preserve"> v</w:t>
      </w:r>
      <w:r w:rsidR="00CF2351" w:rsidRPr="00B07D79">
        <w:rPr>
          <w:rFonts w:asciiTheme="minorHAnsi" w:hAnsiTheme="minorHAnsi"/>
        </w:rPr>
        <w:t> </w:t>
      </w:r>
      <w:r w:rsidR="008B25F4" w:rsidRPr="00B07D79">
        <w:rPr>
          <w:rFonts w:asciiTheme="minorHAnsi" w:hAnsiTheme="minorHAnsi"/>
        </w:rPr>
        <w:t>zemích v</w:t>
      </w:r>
      <w:r w:rsidR="00CF2351" w:rsidRPr="00B07D79">
        <w:rPr>
          <w:rFonts w:asciiTheme="minorHAnsi" w:hAnsiTheme="minorHAnsi"/>
        </w:rPr>
        <w:t> </w:t>
      </w:r>
      <w:r w:rsidR="008B25F4" w:rsidRPr="00B07D79">
        <w:rPr>
          <w:rFonts w:asciiTheme="minorHAnsi" w:hAnsiTheme="minorHAnsi"/>
        </w:rPr>
        <w:t>návaznosti na předpokládanou nutnost recyklace určitého objemu baterií</w:t>
      </w:r>
      <w:r w:rsidRPr="00B07D79">
        <w:rPr>
          <w:rFonts w:asciiTheme="minorHAnsi" w:hAnsiTheme="minorHAnsi"/>
        </w:rPr>
        <w:t>. V</w:t>
      </w:r>
      <w:r w:rsidR="00CF2351" w:rsidRPr="00B07D79">
        <w:rPr>
          <w:rFonts w:asciiTheme="minorHAnsi" w:hAnsiTheme="minorHAnsi"/>
        </w:rPr>
        <w:t> </w:t>
      </w:r>
      <w:r w:rsidRPr="00B07D79">
        <w:rPr>
          <w:rFonts w:asciiTheme="minorHAnsi" w:hAnsiTheme="minorHAnsi"/>
        </w:rPr>
        <w:t>ČR už je i</w:t>
      </w:r>
      <w:r w:rsidR="00CF2351" w:rsidRPr="00B07D79">
        <w:rPr>
          <w:rFonts w:asciiTheme="minorHAnsi" w:hAnsiTheme="minorHAnsi"/>
        </w:rPr>
        <w:t> </w:t>
      </w:r>
      <w:r w:rsidRPr="00B07D79">
        <w:rPr>
          <w:rFonts w:asciiTheme="minorHAnsi" w:hAnsiTheme="minorHAnsi"/>
        </w:rPr>
        <w:t>pilotní projekt na recyklaci lithiových baterií. U</w:t>
      </w:r>
      <w:r w:rsidR="00CF2351" w:rsidRPr="00B07D79">
        <w:rPr>
          <w:rFonts w:asciiTheme="minorHAnsi" w:hAnsiTheme="minorHAnsi"/>
        </w:rPr>
        <w:t> </w:t>
      </w:r>
      <w:r w:rsidRPr="00B07D79">
        <w:rPr>
          <w:rFonts w:asciiTheme="minorHAnsi" w:hAnsiTheme="minorHAnsi"/>
        </w:rPr>
        <w:t>kterého se počítá s</w:t>
      </w:r>
      <w:r w:rsidR="00CF2351" w:rsidRPr="00B07D79">
        <w:rPr>
          <w:rFonts w:asciiTheme="minorHAnsi" w:hAnsiTheme="minorHAnsi"/>
        </w:rPr>
        <w:t> </w:t>
      </w:r>
      <w:r w:rsidRPr="00B07D79">
        <w:rPr>
          <w:rFonts w:asciiTheme="minorHAnsi" w:hAnsiTheme="minorHAnsi"/>
        </w:rPr>
        <w:t>navýšením kapacit na zpracování až na 2 000 tun.</w:t>
      </w:r>
    </w:p>
    <w:p w14:paraId="1F6BB8ED" w14:textId="0E4B5919" w:rsidR="00C949FA" w:rsidRPr="00B07D79" w:rsidRDefault="006E6918" w:rsidP="00B07D79">
      <w:pPr>
        <w:spacing w:line="276" w:lineRule="auto"/>
        <w:jc w:val="both"/>
        <w:rPr>
          <w:rFonts w:asciiTheme="minorHAnsi" w:hAnsiTheme="minorHAnsi"/>
        </w:rPr>
      </w:pPr>
      <w:r w:rsidRPr="00B07D79">
        <w:rPr>
          <w:rFonts w:asciiTheme="minorHAnsi" w:hAnsiTheme="minorHAnsi"/>
        </w:rPr>
        <w:t>Elektromobil má zhruba dvojnásobnou výrobní stopu než typické vozidlo se spalovacím motorem (ICE). Oba mají podobné vložené výrobní emise například z</w:t>
      </w:r>
      <w:r w:rsidR="00CF2351" w:rsidRPr="00B07D79">
        <w:rPr>
          <w:rFonts w:asciiTheme="minorHAnsi" w:hAnsiTheme="minorHAnsi"/>
        </w:rPr>
        <w:t> </w:t>
      </w:r>
      <w:r w:rsidRPr="00B07D79">
        <w:rPr>
          <w:rFonts w:asciiTheme="minorHAnsi" w:hAnsiTheme="minorHAnsi"/>
        </w:rPr>
        <w:t>výroby karoserie vozidla, která se pohybuje mezi pěti a</w:t>
      </w:r>
      <w:r w:rsidR="00CF2351" w:rsidRPr="00B07D79">
        <w:rPr>
          <w:rFonts w:asciiTheme="minorHAnsi" w:hAnsiTheme="minorHAnsi"/>
        </w:rPr>
        <w:t> </w:t>
      </w:r>
      <w:r w:rsidRPr="00B07D79">
        <w:rPr>
          <w:rFonts w:asciiTheme="minorHAnsi" w:hAnsiTheme="minorHAnsi"/>
        </w:rPr>
        <w:t>deseti tunami CO2e v</w:t>
      </w:r>
      <w:r w:rsidR="00CF2351" w:rsidRPr="00B07D79">
        <w:rPr>
          <w:rFonts w:asciiTheme="minorHAnsi" w:hAnsiTheme="minorHAnsi"/>
        </w:rPr>
        <w:t> </w:t>
      </w:r>
      <w:r w:rsidRPr="00B07D79">
        <w:rPr>
          <w:rFonts w:asciiTheme="minorHAnsi" w:hAnsiTheme="minorHAnsi"/>
        </w:rPr>
        <w:t>závislosti na jeho velikosti a</w:t>
      </w:r>
      <w:r w:rsidR="00CF2351" w:rsidRPr="00B07D79">
        <w:rPr>
          <w:rFonts w:asciiTheme="minorHAnsi" w:hAnsiTheme="minorHAnsi"/>
        </w:rPr>
        <w:t> </w:t>
      </w:r>
      <w:r w:rsidRPr="00B07D79">
        <w:rPr>
          <w:rFonts w:asciiTheme="minorHAnsi" w:hAnsiTheme="minorHAnsi"/>
        </w:rPr>
        <w:t>místě výroby. Kromě toho však výroba typického elektromobilu (s baterií o</w:t>
      </w:r>
      <w:r w:rsidR="00CF2351" w:rsidRPr="00B07D79">
        <w:rPr>
          <w:rFonts w:asciiTheme="minorHAnsi" w:hAnsiTheme="minorHAnsi"/>
        </w:rPr>
        <w:t> </w:t>
      </w:r>
      <w:r w:rsidRPr="00B07D79">
        <w:rPr>
          <w:rFonts w:asciiTheme="minorHAnsi" w:hAnsiTheme="minorHAnsi"/>
        </w:rPr>
        <w:t>kapacitě 75 kWh) vypouští více než sedm tun CO2e emise pouze na baterii. Podle našich odhadů dnes výroba průměrné baterie EV vypouští až 100 kilogramů (kg) CO2 ekvivalent na kilowatthodinu (CO2e/kWh).</w:t>
      </w:r>
    </w:p>
    <w:p w14:paraId="6DA72531" w14:textId="3A5CF510" w:rsidR="00543428" w:rsidRPr="009D0E24" w:rsidRDefault="00543428" w:rsidP="000E5B59">
      <w:pPr>
        <w:pStyle w:val="Nadpis2"/>
        <w:rPr>
          <w:rFonts w:cstheme="majorBidi"/>
          <w:sz w:val="32"/>
          <w:szCs w:val="36"/>
        </w:rPr>
      </w:pPr>
      <w:bookmarkStart w:id="217" w:name="_Toc173240068"/>
      <w:r w:rsidRPr="009D0E24">
        <w:rPr>
          <w:sz w:val="32"/>
          <w:szCs w:val="36"/>
        </w:rPr>
        <w:t>Energetika a</w:t>
      </w:r>
      <w:r w:rsidR="00CF2351" w:rsidRPr="009D0E24">
        <w:rPr>
          <w:sz w:val="32"/>
          <w:szCs w:val="36"/>
        </w:rPr>
        <w:t> </w:t>
      </w:r>
      <w:r w:rsidRPr="009D0E24">
        <w:rPr>
          <w:sz w:val="32"/>
          <w:szCs w:val="36"/>
        </w:rPr>
        <w:t>dopravy – možnost vytvoření synergického efektu</w:t>
      </w:r>
      <w:bookmarkEnd w:id="217"/>
    </w:p>
    <w:p w14:paraId="404AABDB" w14:textId="7D7F13FF"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Doprava je tržním prostředím. Cena jízdného či dovozného je pro každý druh dopravy podstatným parametrem, zásadně určujícím jeho konkurenceschopnost. Náklady na energii jsou významnou složkou provozních nákladů dopravy osob i</w:t>
      </w:r>
      <w:r w:rsidR="00CF2351" w:rsidRPr="00B07D79">
        <w:rPr>
          <w:rFonts w:asciiTheme="minorHAnsi" w:hAnsiTheme="minorHAnsi" w:cs="Arial"/>
        </w:rPr>
        <w:t> </w:t>
      </w:r>
      <w:r w:rsidRPr="00B07D79">
        <w:rPr>
          <w:rFonts w:asciiTheme="minorHAnsi" w:hAnsiTheme="minorHAnsi" w:cs="Arial"/>
        </w:rPr>
        <w:t xml:space="preserve">věcí. Provozní náklady dále obsahují mzdové náklady </w:t>
      </w:r>
      <w:r w:rsidRPr="00B07D79">
        <w:rPr>
          <w:rFonts w:asciiTheme="minorHAnsi" w:hAnsiTheme="minorHAnsi" w:cs="Arial"/>
        </w:rPr>
        <w:lastRenderedPageBreak/>
        <w:t>a</w:t>
      </w:r>
      <w:r w:rsidR="00CF2351" w:rsidRPr="00B07D79">
        <w:rPr>
          <w:rFonts w:asciiTheme="minorHAnsi" w:hAnsiTheme="minorHAnsi" w:cs="Arial"/>
        </w:rPr>
        <w:t> </w:t>
      </w:r>
      <w:r w:rsidRPr="00B07D79">
        <w:rPr>
          <w:rFonts w:asciiTheme="minorHAnsi" w:hAnsiTheme="minorHAnsi" w:cs="Arial"/>
        </w:rPr>
        <w:t>náklady na údržbu dopravních prostředků. Snahou je snižovat provozní náklady. Dále zde vystupují fixní náklady, které zahrnují především investice do dopravních prostředků, do vybudování zázemí jejich údržby. Důležitou částí provozních nákladů jsou daně, a</w:t>
      </w:r>
      <w:r w:rsidR="00CF2351" w:rsidRPr="00B07D79">
        <w:rPr>
          <w:rFonts w:asciiTheme="minorHAnsi" w:hAnsiTheme="minorHAnsi" w:cs="Arial"/>
        </w:rPr>
        <w:t> </w:t>
      </w:r>
      <w:r w:rsidRPr="00B07D79">
        <w:rPr>
          <w:rFonts w:asciiTheme="minorHAnsi" w:hAnsiTheme="minorHAnsi" w:cs="Arial"/>
        </w:rPr>
        <w:t>poplatky, zejména poplatky za použití dopravní cesty. Vlivem historického vývoje nejsou podmínky pro provozování různých druhů dopravy harmonizovány. Daňové a</w:t>
      </w:r>
      <w:r w:rsidR="00CF2351" w:rsidRPr="00B07D79">
        <w:rPr>
          <w:rFonts w:asciiTheme="minorHAnsi" w:hAnsiTheme="minorHAnsi" w:cs="Arial"/>
        </w:rPr>
        <w:t> </w:t>
      </w:r>
      <w:r w:rsidRPr="00B07D79">
        <w:rPr>
          <w:rFonts w:asciiTheme="minorHAnsi" w:hAnsiTheme="minorHAnsi" w:cs="Arial"/>
        </w:rPr>
        <w:t>poplatkové zatížení jednotlivých druhů dopravy je velmi rozdílné, což ovlivňuje volbu dopravního prostředku, a</w:t>
      </w:r>
      <w:r w:rsidR="00CF2351" w:rsidRPr="00B07D79">
        <w:rPr>
          <w:rFonts w:asciiTheme="minorHAnsi" w:hAnsiTheme="minorHAnsi" w:cs="Arial"/>
        </w:rPr>
        <w:t> </w:t>
      </w:r>
      <w:r w:rsidRPr="00B07D79">
        <w:rPr>
          <w:rFonts w:asciiTheme="minorHAnsi" w:hAnsiTheme="minorHAnsi" w:cs="Arial"/>
        </w:rPr>
        <w:t>to ve vztahu k</w:t>
      </w:r>
      <w:r w:rsidR="00CF2351" w:rsidRPr="00B07D79">
        <w:rPr>
          <w:rFonts w:asciiTheme="minorHAnsi" w:hAnsiTheme="minorHAnsi" w:cs="Arial"/>
        </w:rPr>
        <w:t> </w:t>
      </w:r>
      <w:r w:rsidRPr="00B07D79">
        <w:rPr>
          <w:rFonts w:asciiTheme="minorHAnsi" w:hAnsiTheme="minorHAnsi" w:cs="Arial"/>
        </w:rPr>
        <w:t>dekarbonizaci mnohdy velmi negativně. Další oblastí významného vlivu ze strany státu je budování kvalitou a</w:t>
      </w:r>
      <w:r w:rsidR="00CF2351" w:rsidRPr="00B07D79">
        <w:rPr>
          <w:rFonts w:asciiTheme="minorHAnsi" w:hAnsiTheme="minorHAnsi" w:cs="Arial"/>
        </w:rPr>
        <w:t> </w:t>
      </w:r>
      <w:r w:rsidRPr="00B07D79">
        <w:rPr>
          <w:rFonts w:asciiTheme="minorHAnsi" w:hAnsiTheme="minorHAnsi" w:cs="Arial"/>
        </w:rPr>
        <w:t>kapacitou odpovídající dopravní infrastruktury.</w:t>
      </w:r>
    </w:p>
    <w:p w14:paraId="0BAFCF7F" w14:textId="17FFF938"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Rozhodování o</w:t>
      </w:r>
      <w:r w:rsidR="00CF2351" w:rsidRPr="00B07D79">
        <w:rPr>
          <w:rFonts w:asciiTheme="minorHAnsi" w:hAnsiTheme="minorHAnsi" w:cs="Arial"/>
        </w:rPr>
        <w:t> </w:t>
      </w:r>
      <w:r w:rsidRPr="00B07D79">
        <w:rPr>
          <w:rFonts w:asciiTheme="minorHAnsi" w:hAnsiTheme="minorHAnsi" w:cs="Arial"/>
        </w:rPr>
        <w:t>inovativních aktivitách v</w:t>
      </w:r>
      <w:r w:rsidR="00CF2351" w:rsidRPr="00B07D79">
        <w:rPr>
          <w:rFonts w:asciiTheme="minorHAnsi" w:hAnsiTheme="minorHAnsi" w:cs="Arial"/>
        </w:rPr>
        <w:t> </w:t>
      </w:r>
      <w:r w:rsidRPr="00B07D79">
        <w:rPr>
          <w:rFonts w:asciiTheme="minorHAnsi" w:hAnsiTheme="minorHAnsi" w:cs="Arial"/>
        </w:rPr>
        <w:t>rámci jednotlivých druhů dopravy vedoucí k</w:t>
      </w:r>
      <w:r w:rsidR="00CF2351" w:rsidRPr="00B07D79">
        <w:rPr>
          <w:rFonts w:asciiTheme="minorHAnsi" w:hAnsiTheme="minorHAnsi" w:cs="Arial"/>
        </w:rPr>
        <w:t> </w:t>
      </w:r>
      <w:proofErr w:type="spellStart"/>
      <w:r w:rsidRPr="00B07D79">
        <w:rPr>
          <w:rFonts w:asciiTheme="minorHAnsi" w:hAnsiTheme="minorHAnsi" w:cs="Arial"/>
        </w:rPr>
        <w:t>intramodálním</w:t>
      </w:r>
      <w:proofErr w:type="spellEnd"/>
      <w:r w:rsidRPr="00B07D79">
        <w:rPr>
          <w:rFonts w:asciiTheme="minorHAnsi" w:hAnsiTheme="minorHAnsi" w:cs="Arial"/>
        </w:rPr>
        <w:t xml:space="preserve"> úsporám energie a</w:t>
      </w:r>
      <w:r w:rsidR="00CF2351" w:rsidRPr="00B07D79">
        <w:rPr>
          <w:rFonts w:asciiTheme="minorHAnsi" w:hAnsiTheme="minorHAnsi" w:cs="Arial"/>
        </w:rPr>
        <w:t> </w:t>
      </w:r>
      <w:r w:rsidRPr="00B07D79">
        <w:rPr>
          <w:rFonts w:asciiTheme="minorHAnsi" w:hAnsiTheme="minorHAnsi" w:cs="Arial"/>
        </w:rPr>
        <w:t>emisí, i</w:t>
      </w:r>
      <w:r w:rsidR="00CF2351" w:rsidRPr="00B07D79">
        <w:rPr>
          <w:rFonts w:asciiTheme="minorHAnsi" w:hAnsiTheme="minorHAnsi" w:cs="Arial"/>
        </w:rPr>
        <w:t> </w:t>
      </w:r>
      <w:r w:rsidRPr="00B07D79">
        <w:rPr>
          <w:rFonts w:asciiTheme="minorHAnsi" w:hAnsiTheme="minorHAnsi" w:cs="Arial"/>
        </w:rPr>
        <w:t>rozhodování o</w:t>
      </w:r>
      <w:r w:rsidR="00CF2351" w:rsidRPr="00B07D79">
        <w:rPr>
          <w:rFonts w:asciiTheme="minorHAnsi" w:hAnsiTheme="minorHAnsi" w:cs="Arial"/>
        </w:rPr>
        <w:t> </w:t>
      </w:r>
      <w:r w:rsidRPr="00B07D79">
        <w:rPr>
          <w:rFonts w:asciiTheme="minorHAnsi" w:hAnsiTheme="minorHAnsi" w:cs="Arial"/>
        </w:rPr>
        <w:t>změně dopravního chování vedoucí k</w:t>
      </w:r>
      <w:r w:rsidR="00CF2351" w:rsidRPr="00B07D79">
        <w:rPr>
          <w:rFonts w:asciiTheme="minorHAnsi" w:hAnsiTheme="minorHAnsi" w:cs="Arial"/>
        </w:rPr>
        <w:t> </w:t>
      </w:r>
      <w:proofErr w:type="spellStart"/>
      <w:r w:rsidRPr="00B07D79">
        <w:rPr>
          <w:rFonts w:asciiTheme="minorHAnsi" w:hAnsiTheme="minorHAnsi" w:cs="Arial"/>
        </w:rPr>
        <w:t>extramodálním</w:t>
      </w:r>
      <w:proofErr w:type="spellEnd"/>
      <w:r w:rsidRPr="00B07D79">
        <w:rPr>
          <w:rFonts w:asciiTheme="minorHAnsi" w:hAnsiTheme="minorHAnsi" w:cs="Arial"/>
        </w:rPr>
        <w:t xml:space="preserve"> úsporám energie a</w:t>
      </w:r>
      <w:r w:rsidR="00CF2351" w:rsidRPr="00B07D79">
        <w:rPr>
          <w:rFonts w:asciiTheme="minorHAnsi" w:hAnsiTheme="minorHAnsi" w:cs="Arial"/>
        </w:rPr>
        <w:t> </w:t>
      </w:r>
      <w:r w:rsidRPr="00B07D79">
        <w:rPr>
          <w:rFonts w:asciiTheme="minorHAnsi" w:hAnsiTheme="minorHAnsi" w:cs="Arial"/>
        </w:rPr>
        <w:t>emisí, nejsou ze strany provozovatelů dopravy, objednatelů dopravy či zákazníků dopravy motivovány úsporami energie a</w:t>
      </w:r>
      <w:r w:rsidR="00CF2351" w:rsidRPr="00B07D79">
        <w:rPr>
          <w:rFonts w:asciiTheme="minorHAnsi" w:hAnsiTheme="minorHAnsi" w:cs="Arial"/>
        </w:rPr>
        <w:t> </w:t>
      </w:r>
      <w:r w:rsidRPr="00B07D79">
        <w:rPr>
          <w:rFonts w:asciiTheme="minorHAnsi" w:hAnsiTheme="minorHAnsi" w:cs="Arial"/>
        </w:rPr>
        <w:t>emisí. Za snížení spotřeby energie či za snížení emisí oxidu uhličitého ani za snížení emisí zdraví škodlivých látek žádnou bonifikaci nedostávají. Zásadním faktorem je proto státem regulovaná cena energie, neboť ta má významný vliv na provozní náklady a</w:t>
      </w:r>
      <w:r w:rsidR="00CF2351" w:rsidRPr="00B07D79">
        <w:rPr>
          <w:rFonts w:asciiTheme="minorHAnsi" w:hAnsiTheme="minorHAnsi" w:cs="Arial"/>
        </w:rPr>
        <w:t> </w:t>
      </w:r>
      <w:r w:rsidRPr="00B07D79">
        <w:rPr>
          <w:rFonts w:asciiTheme="minorHAnsi" w:hAnsiTheme="minorHAnsi" w:cs="Arial"/>
        </w:rPr>
        <w:t xml:space="preserve">tím na cenu jízdného či dovozného, respektive ve veřejné dopravě na cenu poskytované služby ze strany státu či kraje. </w:t>
      </w:r>
    </w:p>
    <w:p w14:paraId="1615E587" w14:textId="7BA5D99D"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Další významnou bariérou mimo ekonomické ukazatele je také programově končící výroba vozidel se spalovacími motory. Nezájem či neschopnost školství motivovat mládež ke studiu technických oborů vede v</w:t>
      </w:r>
      <w:r w:rsidR="00CF2351" w:rsidRPr="00B07D79">
        <w:rPr>
          <w:rFonts w:asciiTheme="minorHAnsi" w:hAnsiTheme="minorHAnsi" w:cs="Arial"/>
        </w:rPr>
        <w:t> </w:t>
      </w:r>
      <w:r w:rsidRPr="00B07D79">
        <w:rPr>
          <w:rFonts w:asciiTheme="minorHAnsi" w:hAnsiTheme="minorHAnsi" w:cs="Arial"/>
        </w:rPr>
        <w:t>průmyslu k</w:t>
      </w:r>
      <w:r w:rsidR="00CF2351" w:rsidRPr="00B07D79">
        <w:rPr>
          <w:rFonts w:asciiTheme="minorHAnsi" w:hAnsiTheme="minorHAnsi" w:cs="Arial"/>
        </w:rPr>
        <w:t> </w:t>
      </w:r>
      <w:r w:rsidRPr="00B07D79">
        <w:rPr>
          <w:rFonts w:asciiTheme="minorHAnsi" w:hAnsiTheme="minorHAnsi" w:cs="Arial"/>
        </w:rPr>
        <w:t>chronickému nedostatku vývojových pracovníků, a</w:t>
      </w:r>
      <w:r w:rsidR="00CF2351" w:rsidRPr="00B07D79">
        <w:rPr>
          <w:rFonts w:asciiTheme="minorHAnsi" w:hAnsiTheme="minorHAnsi" w:cs="Arial"/>
        </w:rPr>
        <w:t> </w:t>
      </w:r>
      <w:r w:rsidRPr="00B07D79">
        <w:rPr>
          <w:rFonts w:asciiTheme="minorHAnsi" w:hAnsiTheme="minorHAnsi" w:cs="Arial"/>
        </w:rPr>
        <w:t>tedy k</w:t>
      </w:r>
      <w:r w:rsidR="00CF2351" w:rsidRPr="00B07D79">
        <w:rPr>
          <w:rFonts w:asciiTheme="minorHAnsi" w:hAnsiTheme="minorHAnsi" w:cs="Arial"/>
        </w:rPr>
        <w:t> </w:t>
      </w:r>
      <w:r w:rsidRPr="00B07D79">
        <w:rPr>
          <w:rFonts w:asciiTheme="minorHAnsi" w:hAnsiTheme="minorHAnsi" w:cs="Arial"/>
        </w:rPr>
        <w:t>velmi pečlivému hospodaření průmyslových závodů s</w:t>
      </w:r>
      <w:r w:rsidR="00CF2351" w:rsidRPr="00B07D79">
        <w:rPr>
          <w:rFonts w:asciiTheme="minorHAnsi" w:hAnsiTheme="minorHAnsi" w:cs="Arial"/>
        </w:rPr>
        <w:t> </w:t>
      </w:r>
      <w:r w:rsidRPr="00B07D79">
        <w:rPr>
          <w:rFonts w:asciiTheme="minorHAnsi" w:hAnsiTheme="minorHAnsi" w:cs="Arial"/>
        </w:rPr>
        <w:t>inovačním potenciálem. Ten výrobci vozidel prioritně soustřeďují na perspektivní trendy v</w:t>
      </w:r>
      <w:r w:rsidR="00CF2351" w:rsidRPr="00B07D79">
        <w:rPr>
          <w:rFonts w:asciiTheme="minorHAnsi" w:hAnsiTheme="minorHAnsi" w:cs="Arial"/>
        </w:rPr>
        <w:t> </w:t>
      </w:r>
      <w:r w:rsidRPr="00B07D79">
        <w:rPr>
          <w:rFonts w:asciiTheme="minorHAnsi" w:hAnsiTheme="minorHAnsi" w:cs="Arial"/>
        </w:rPr>
        <w:t>oblasti bezemisní mobility, nemají zájem investovat do konstrukčního a</w:t>
      </w:r>
      <w:r w:rsidR="00CF2351" w:rsidRPr="00B07D79">
        <w:rPr>
          <w:rFonts w:asciiTheme="minorHAnsi" w:hAnsiTheme="minorHAnsi" w:cs="Arial"/>
        </w:rPr>
        <w:t> </w:t>
      </w:r>
      <w:r w:rsidRPr="00B07D79">
        <w:rPr>
          <w:rFonts w:asciiTheme="minorHAnsi" w:hAnsiTheme="minorHAnsi" w:cs="Arial"/>
        </w:rPr>
        <w:t>technologického vývoje složitých a</w:t>
      </w:r>
      <w:r w:rsidR="00CF2351" w:rsidRPr="00B07D79">
        <w:rPr>
          <w:rFonts w:asciiTheme="minorHAnsi" w:hAnsiTheme="minorHAnsi" w:cs="Arial"/>
        </w:rPr>
        <w:t> </w:t>
      </w:r>
      <w:r w:rsidRPr="00B07D79">
        <w:rPr>
          <w:rFonts w:asciiTheme="minorHAnsi" w:hAnsiTheme="minorHAnsi" w:cs="Arial"/>
        </w:rPr>
        <w:t>bezperspektivních spalovacích vozidel. Naplno se věnují vytvoření produktů k</w:t>
      </w:r>
      <w:r w:rsidR="00CF2351" w:rsidRPr="00B07D79">
        <w:rPr>
          <w:rFonts w:asciiTheme="minorHAnsi" w:hAnsiTheme="minorHAnsi" w:cs="Arial"/>
        </w:rPr>
        <w:t> </w:t>
      </w:r>
      <w:r w:rsidRPr="00B07D79">
        <w:rPr>
          <w:rFonts w:asciiTheme="minorHAnsi" w:hAnsiTheme="minorHAnsi" w:cs="Arial"/>
        </w:rPr>
        <w:t>získání pozice na perspektivním trhu elektrických vozidel v</w:t>
      </w:r>
      <w:r w:rsidR="00CF2351" w:rsidRPr="00B07D79">
        <w:rPr>
          <w:rFonts w:asciiTheme="minorHAnsi" w:hAnsiTheme="minorHAnsi" w:cs="Arial"/>
        </w:rPr>
        <w:t> </w:t>
      </w:r>
      <w:r w:rsidRPr="00B07D79">
        <w:rPr>
          <w:rFonts w:asciiTheme="minorHAnsi" w:hAnsiTheme="minorHAnsi" w:cs="Arial"/>
        </w:rPr>
        <w:t>celosvětovém měřítku, neboť většina produkce automobilového průmyslu je směřována do exportu (zde by bylo možná vhodné doplnit poznámku pod čarou, že v</w:t>
      </w:r>
      <w:r w:rsidR="00CF2351" w:rsidRPr="00B07D79">
        <w:rPr>
          <w:rFonts w:asciiTheme="minorHAnsi" w:hAnsiTheme="minorHAnsi" w:cs="Arial"/>
        </w:rPr>
        <w:t> </w:t>
      </w:r>
      <w:r w:rsidRPr="00B07D79">
        <w:rPr>
          <w:rFonts w:asciiTheme="minorHAnsi" w:hAnsiTheme="minorHAnsi" w:cs="Arial"/>
        </w:rPr>
        <w:t>roce 2019 bylo v</w:t>
      </w:r>
      <w:r w:rsidR="00CF2351" w:rsidRPr="00B07D79">
        <w:rPr>
          <w:rFonts w:asciiTheme="minorHAnsi" w:hAnsiTheme="minorHAnsi" w:cs="Arial"/>
        </w:rPr>
        <w:t> </w:t>
      </w:r>
      <w:r w:rsidRPr="00B07D79">
        <w:rPr>
          <w:rFonts w:asciiTheme="minorHAnsi" w:hAnsiTheme="minorHAnsi" w:cs="Arial"/>
        </w:rPr>
        <w:t>ČR vyrobeno 1 427 563 automobilů a</w:t>
      </w:r>
      <w:r w:rsidR="00CF2351" w:rsidRPr="00B07D79">
        <w:rPr>
          <w:rFonts w:asciiTheme="minorHAnsi" w:hAnsiTheme="minorHAnsi" w:cs="Arial"/>
        </w:rPr>
        <w:t> </w:t>
      </w:r>
      <w:r w:rsidRPr="00B07D79">
        <w:rPr>
          <w:rFonts w:asciiTheme="minorHAnsi" w:hAnsiTheme="minorHAnsi" w:cs="Arial"/>
        </w:rPr>
        <w:t>1 321 069, tedy 92,5 %, jich bylo exportováno) a</w:t>
      </w:r>
      <w:r w:rsidR="00CF2351" w:rsidRPr="00B07D79">
        <w:rPr>
          <w:rFonts w:asciiTheme="minorHAnsi" w:hAnsiTheme="minorHAnsi" w:cs="Arial"/>
        </w:rPr>
        <w:t> </w:t>
      </w:r>
      <w:r w:rsidRPr="00B07D79">
        <w:rPr>
          <w:rFonts w:asciiTheme="minorHAnsi" w:hAnsiTheme="minorHAnsi" w:cs="Arial"/>
        </w:rPr>
        <w:t>poptávka ze strany tradičních odběratelů (zejména Čína a</w:t>
      </w:r>
      <w:r w:rsidR="00CF2351" w:rsidRPr="00B07D79">
        <w:rPr>
          <w:rFonts w:asciiTheme="minorHAnsi" w:hAnsiTheme="minorHAnsi" w:cs="Arial"/>
        </w:rPr>
        <w:t> </w:t>
      </w:r>
      <w:r w:rsidRPr="00B07D79">
        <w:rPr>
          <w:rFonts w:asciiTheme="minorHAnsi" w:hAnsiTheme="minorHAnsi" w:cs="Arial"/>
        </w:rPr>
        <w:t xml:space="preserve">Indie) se orientuje výhradně na elektrické automobily. Počet nově vyráběných vozidel, schopných využívat uhlovodíková paliva, bude rychle klesat. Orientace na okrajový trend není pro průmysl ekonomicky efektivní.  </w:t>
      </w:r>
    </w:p>
    <w:p w14:paraId="61132D74" w14:textId="1A81CBAB"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U investic do dopravních staveb je prováděna kromě finanční analýzy nákladů a</w:t>
      </w:r>
      <w:r w:rsidR="00CF2351" w:rsidRPr="00B07D79">
        <w:rPr>
          <w:rFonts w:asciiTheme="minorHAnsi" w:hAnsiTheme="minorHAnsi" w:cs="Arial"/>
        </w:rPr>
        <w:t> </w:t>
      </w:r>
      <w:r w:rsidRPr="00B07D79">
        <w:rPr>
          <w:rFonts w:asciiTheme="minorHAnsi" w:hAnsiTheme="minorHAnsi" w:cs="Arial"/>
        </w:rPr>
        <w:t>výnosů (CBA) i</w:t>
      </w:r>
      <w:r w:rsidR="00CF2351" w:rsidRPr="00B07D79">
        <w:rPr>
          <w:rFonts w:asciiTheme="minorHAnsi" w:hAnsiTheme="minorHAnsi" w:cs="Arial"/>
        </w:rPr>
        <w:t> </w:t>
      </w:r>
      <w:r w:rsidRPr="00B07D79">
        <w:rPr>
          <w:rFonts w:asciiTheme="minorHAnsi" w:hAnsiTheme="minorHAnsi" w:cs="Arial"/>
        </w:rPr>
        <w:t>ekonomická analýza nákladů a</w:t>
      </w:r>
      <w:r w:rsidR="00CF2351" w:rsidRPr="00B07D79">
        <w:rPr>
          <w:rFonts w:asciiTheme="minorHAnsi" w:hAnsiTheme="minorHAnsi" w:cs="Arial"/>
        </w:rPr>
        <w:t> </w:t>
      </w:r>
      <w:r w:rsidRPr="00B07D79">
        <w:rPr>
          <w:rFonts w:asciiTheme="minorHAnsi" w:hAnsiTheme="minorHAnsi" w:cs="Arial"/>
        </w:rPr>
        <w:t xml:space="preserve">výnosů, která </w:t>
      </w:r>
      <w:proofErr w:type="spellStart"/>
      <w:r w:rsidRPr="00B07D79">
        <w:rPr>
          <w:rFonts w:asciiTheme="minorHAnsi" w:hAnsiTheme="minorHAnsi" w:cs="Arial"/>
        </w:rPr>
        <w:t>monetarizuje</w:t>
      </w:r>
      <w:proofErr w:type="spellEnd"/>
      <w:r w:rsidRPr="00B07D79">
        <w:rPr>
          <w:rFonts w:asciiTheme="minorHAnsi" w:hAnsiTheme="minorHAnsi" w:cs="Arial"/>
        </w:rPr>
        <w:t xml:space="preserve"> celospolečenské přínosy i</w:t>
      </w:r>
      <w:r w:rsidR="00CF2351" w:rsidRPr="00B07D79">
        <w:rPr>
          <w:rFonts w:asciiTheme="minorHAnsi" w:hAnsiTheme="minorHAnsi" w:cs="Arial"/>
        </w:rPr>
        <w:t> </w:t>
      </w:r>
      <w:r w:rsidRPr="00B07D79">
        <w:rPr>
          <w:rFonts w:asciiTheme="minorHAnsi" w:hAnsiTheme="minorHAnsi" w:cs="Arial"/>
        </w:rPr>
        <w:t>celospolečenské negativní externí vlivy jako jsou emise oxidu uhličitého, emise zdraví škodlivých látek, hluk, nehody, které jsou ohodnoceny a</w:t>
      </w:r>
      <w:r w:rsidR="00CF2351" w:rsidRPr="00B07D79">
        <w:rPr>
          <w:rFonts w:asciiTheme="minorHAnsi" w:hAnsiTheme="minorHAnsi" w:cs="Arial"/>
        </w:rPr>
        <w:t> </w:t>
      </w:r>
      <w:r w:rsidRPr="00B07D79">
        <w:rPr>
          <w:rFonts w:asciiTheme="minorHAnsi" w:hAnsiTheme="minorHAnsi" w:cs="Arial"/>
        </w:rPr>
        <w:t>shrnuty v</w:t>
      </w:r>
      <w:r w:rsidR="00CF2351" w:rsidRPr="00B07D79">
        <w:rPr>
          <w:rFonts w:asciiTheme="minorHAnsi" w:hAnsiTheme="minorHAnsi" w:cs="Arial"/>
        </w:rPr>
        <w:t> </w:t>
      </w:r>
      <w:r w:rsidRPr="00B07D79">
        <w:rPr>
          <w:rFonts w:asciiTheme="minorHAnsi" w:hAnsiTheme="minorHAnsi" w:cs="Arial"/>
        </w:rPr>
        <w:t>dokumentu Státního fondu dopravní infrastruktury „Rezortní metodika MD ČR a</w:t>
      </w:r>
      <w:r w:rsidR="00CF2351" w:rsidRPr="00B07D79">
        <w:rPr>
          <w:rFonts w:asciiTheme="minorHAnsi" w:hAnsiTheme="minorHAnsi" w:cs="Arial"/>
        </w:rPr>
        <w:t> </w:t>
      </w:r>
      <w:r w:rsidRPr="00B07D79">
        <w:rPr>
          <w:rFonts w:asciiTheme="minorHAnsi" w:hAnsiTheme="minorHAnsi" w:cs="Arial"/>
        </w:rPr>
        <w:t>SFDI pro hodnocení ekonomické efektivnosti“. Z</w:t>
      </w:r>
      <w:r w:rsidR="00CF2351" w:rsidRPr="00B07D79">
        <w:rPr>
          <w:rFonts w:asciiTheme="minorHAnsi" w:hAnsiTheme="minorHAnsi" w:cs="Arial"/>
        </w:rPr>
        <w:t> </w:t>
      </w:r>
      <w:r w:rsidRPr="00B07D79">
        <w:rPr>
          <w:rFonts w:asciiTheme="minorHAnsi" w:hAnsiTheme="minorHAnsi" w:cs="Arial"/>
        </w:rPr>
        <w:t xml:space="preserve">této schválené metodiky vyplývá, že </w:t>
      </w:r>
      <w:proofErr w:type="spellStart"/>
      <w:r w:rsidRPr="00B07D79">
        <w:rPr>
          <w:rFonts w:asciiTheme="minorHAnsi" w:hAnsiTheme="minorHAnsi" w:cs="Arial"/>
        </w:rPr>
        <w:t>bezemisnost</w:t>
      </w:r>
      <w:proofErr w:type="spellEnd"/>
      <w:r w:rsidRPr="00B07D79">
        <w:rPr>
          <w:rFonts w:asciiTheme="minorHAnsi" w:hAnsiTheme="minorHAnsi" w:cs="Arial"/>
        </w:rPr>
        <w:t xml:space="preserve"> je velmi podstatným benefitem dopravy. Mezi posuzované externality nově spadá i</w:t>
      </w:r>
      <w:r w:rsidR="00CF2351" w:rsidRPr="00B07D79">
        <w:rPr>
          <w:rFonts w:asciiTheme="minorHAnsi" w:hAnsiTheme="minorHAnsi" w:cs="Arial"/>
        </w:rPr>
        <w:t> </w:t>
      </w:r>
      <w:r w:rsidRPr="00B07D79">
        <w:rPr>
          <w:rFonts w:asciiTheme="minorHAnsi" w:hAnsiTheme="minorHAnsi" w:cs="Arial"/>
        </w:rPr>
        <w:t>energetická náročnost dopravy, neboť energie pro dopravu je nákladnou činností, přesahující rámec dopravy.</w:t>
      </w:r>
    </w:p>
    <w:p w14:paraId="37C3AAEF" w14:textId="13FD7F59"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 procesu užití dopravy však nízká spotřeba energie, nízké emise oxidu uhličitého, či nízké emise zdraví škodlivých látek nijak finančně ohodnoceny nejsou, a</w:t>
      </w:r>
      <w:r w:rsidR="00CF2351" w:rsidRPr="00B07D79">
        <w:rPr>
          <w:rFonts w:asciiTheme="minorHAnsi" w:hAnsiTheme="minorHAnsi" w:cs="Arial"/>
        </w:rPr>
        <w:t> </w:t>
      </w:r>
      <w:r w:rsidRPr="00B07D79">
        <w:rPr>
          <w:rFonts w:asciiTheme="minorHAnsi" w:hAnsiTheme="minorHAnsi" w:cs="Arial"/>
        </w:rPr>
        <w:t>tudíž v</w:t>
      </w:r>
      <w:r w:rsidR="00CF2351" w:rsidRPr="00B07D79">
        <w:rPr>
          <w:rFonts w:asciiTheme="minorHAnsi" w:hAnsiTheme="minorHAnsi" w:cs="Arial"/>
        </w:rPr>
        <w:t> </w:t>
      </w:r>
      <w:r w:rsidRPr="00B07D79">
        <w:rPr>
          <w:rFonts w:asciiTheme="minorHAnsi" w:hAnsiTheme="minorHAnsi" w:cs="Arial"/>
        </w:rPr>
        <w:t>současné době nejsou pro dopravce atraktivní a</w:t>
      </w:r>
      <w:r w:rsidR="00CF2351" w:rsidRPr="00B07D79">
        <w:rPr>
          <w:rFonts w:asciiTheme="minorHAnsi" w:hAnsiTheme="minorHAnsi" w:cs="Arial"/>
        </w:rPr>
        <w:t> </w:t>
      </w:r>
      <w:r w:rsidRPr="00B07D79">
        <w:rPr>
          <w:rFonts w:asciiTheme="minorHAnsi" w:hAnsiTheme="minorHAnsi" w:cs="Arial"/>
        </w:rPr>
        <w:t>konkurenčně výhodné. Výrazným kritériem při nastavování ceny za službu pro potenciálního zákazníka je cena energie a</w:t>
      </w:r>
      <w:r w:rsidR="00CF2351" w:rsidRPr="00B07D79">
        <w:rPr>
          <w:rFonts w:asciiTheme="minorHAnsi" w:hAnsiTheme="minorHAnsi" w:cs="Arial"/>
        </w:rPr>
        <w:t> </w:t>
      </w:r>
      <w:r w:rsidRPr="00B07D79">
        <w:rPr>
          <w:rFonts w:asciiTheme="minorHAnsi" w:hAnsiTheme="minorHAnsi" w:cs="Arial"/>
        </w:rPr>
        <w:t>její vliv na provozní náklady dopravy.</w:t>
      </w:r>
    </w:p>
    <w:p w14:paraId="68816CF6" w14:textId="07C60A73"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lastRenderedPageBreak/>
        <w:t>Cena energie není ryze tržní cenou, je upravena regulatorním zásahy státu, kterými je řízen energetický trh. Je všeobecně vnímána a</w:t>
      </w:r>
      <w:r w:rsidR="00CF2351" w:rsidRPr="00B07D79">
        <w:rPr>
          <w:rFonts w:asciiTheme="minorHAnsi" w:hAnsiTheme="minorHAnsi" w:cs="Arial"/>
        </w:rPr>
        <w:t> </w:t>
      </w:r>
      <w:r w:rsidRPr="00B07D79">
        <w:rPr>
          <w:rFonts w:asciiTheme="minorHAnsi" w:hAnsiTheme="minorHAnsi" w:cs="Arial"/>
        </w:rPr>
        <w:t>deklarována naléhavá potřeba zbavit dopravu její dosavadní závislosti na spotřebě fosilních paliv, které jsou výhradně importovaných, a</w:t>
      </w:r>
      <w:r w:rsidR="00CF2351" w:rsidRPr="00B07D79">
        <w:rPr>
          <w:rFonts w:asciiTheme="minorHAnsi" w:hAnsiTheme="minorHAnsi" w:cs="Arial"/>
        </w:rPr>
        <w:t> </w:t>
      </w:r>
      <w:r w:rsidRPr="00B07D79">
        <w:rPr>
          <w:rFonts w:asciiTheme="minorHAnsi" w:hAnsiTheme="minorHAnsi" w:cs="Arial"/>
        </w:rPr>
        <w:t>emisí. S</w:t>
      </w:r>
      <w:r w:rsidR="00CF2351" w:rsidRPr="00B07D79">
        <w:rPr>
          <w:rFonts w:asciiTheme="minorHAnsi" w:hAnsiTheme="minorHAnsi" w:cs="Arial"/>
        </w:rPr>
        <w:t> </w:t>
      </w:r>
      <w:r w:rsidRPr="00B07D79">
        <w:rPr>
          <w:rFonts w:asciiTheme="minorHAnsi" w:hAnsiTheme="minorHAnsi" w:cs="Arial"/>
        </w:rPr>
        <w:t>tím spojené investice do dopravní infrastruktury jsou podporovány z</w:t>
      </w:r>
      <w:r w:rsidR="00CF2351" w:rsidRPr="00B07D79">
        <w:rPr>
          <w:rFonts w:asciiTheme="minorHAnsi" w:hAnsiTheme="minorHAnsi" w:cs="Arial"/>
        </w:rPr>
        <w:t> </w:t>
      </w:r>
      <w:r w:rsidRPr="00B07D79">
        <w:rPr>
          <w:rFonts w:asciiTheme="minorHAnsi" w:hAnsiTheme="minorHAnsi" w:cs="Arial"/>
        </w:rPr>
        <w:t>veřejných zdrojů. Avšak v</w:t>
      </w:r>
      <w:r w:rsidR="00CF2351" w:rsidRPr="00B07D79">
        <w:rPr>
          <w:rFonts w:asciiTheme="minorHAnsi" w:hAnsiTheme="minorHAnsi" w:cs="Arial"/>
        </w:rPr>
        <w:t> </w:t>
      </w:r>
      <w:r w:rsidRPr="00B07D79">
        <w:rPr>
          <w:rFonts w:asciiTheme="minorHAnsi" w:hAnsiTheme="minorHAnsi" w:cs="Arial"/>
        </w:rPr>
        <w:t>oblasti provozních nákladů je čistá mobilita výrazně diskriminována regulatorním zásahy státu v</w:t>
      </w:r>
      <w:r w:rsidR="00CF2351" w:rsidRPr="00B07D79">
        <w:rPr>
          <w:rFonts w:asciiTheme="minorHAnsi" w:hAnsiTheme="minorHAnsi" w:cs="Arial"/>
        </w:rPr>
        <w:t> </w:t>
      </w:r>
      <w:r w:rsidRPr="00B07D79">
        <w:rPr>
          <w:rFonts w:asciiTheme="minorHAnsi" w:hAnsiTheme="minorHAnsi" w:cs="Arial"/>
        </w:rPr>
        <w:t>oblasti energetiky.</w:t>
      </w:r>
    </w:p>
    <w:p w14:paraId="483E06EA"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 širokém spektru druhů dopravy jsou při současném stavu techniky dostupná dvě řešení dopravních prostředků:</w:t>
      </w:r>
    </w:p>
    <w:p w14:paraId="0E9C07EB"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pohon spalovacím motorem,</w:t>
      </w:r>
    </w:p>
    <w:p w14:paraId="12E86BBC" w14:textId="2C2DBDD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bezemisní elektrická vozba (liniové elektrické napájení nebo zásobník elektrické energie v</w:t>
      </w:r>
      <w:r w:rsidR="00CF2351" w:rsidRPr="00B07D79">
        <w:rPr>
          <w:rFonts w:asciiTheme="minorHAnsi" w:hAnsiTheme="minorHAnsi" w:cs="Arial"/>
        </w:rPr>
        <w:t> </w:t>
      </w:r>
      <w:r w:rsidRPr="00B07D79">
        <w:rPr>
          <w:rFonts w:asciiTheme="minorHAnsi" w:hAnsiTheme="minorHAnsi" w:cs="Arial"/>
        </w:rPr>
        <w:t>podobě elektrochemického akumulátoru).</w:t>
      </w:r>
    </w:p>
    <w:p w14:paraId="7979C8F6" w14:textId="50C043B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Průmysl nabízí obyvatelstvu i</w:t>
      </w:r>
      <w:r w:rsidR="00CF2351" w:rsidRPr="00B07D79">
        <w:rPr>
          <w:rFonts w:asciiTheme="minorHAnsi" w:hAnsiTheme="minorHAnsi" w:cs="Arial"/>
        </w:rPr>
        <w:t> </w:t>
      </w:r>
      <w:r w:rsidRPr="00B07D79">
        <w:rPr>
          <w:rFonts w:asciiTheme="minorHAnsi" w:hAnsiTheme="minorHAnsi" w:cs="Arial"/>
        </w:rPr>
        <w:t>dopravcům obě alternativy (bezemisní i</w:t>
      </w:r>
      <w:r w:rsidR="00CF2351" w:rsidRPr="00B07D79">
        <w:rPr>
          <w:rFonts w:asciiTheme="minorHAnsi" w:hAnsiTheme="minorHAnsi" w:cs="Arial"/>
        </w:rPr>
        <w:t> </w:t>
      </w:r>
      <w:r w:rsidRPr="00B07D79">
        <w:rPr>
          <w:rFonts w:asciiTheme="minorHAnsi" w:hAnsiTheme="minorHAnsi" w:cs="Arial"/>
        </w:rPr>
        <w:t>spalovací) již v</w:t>
      </w:r>
      <w:r w:rsidR="00CF2351" w:rsidRPr="00B07D79">
        <w:rPr>
          <w:rFonts w:asciiTheme="minorHAnsi" w:hAnsiTheme="minorHAnsi" w:cs="Arial"/>
        </w:rPr>
        <w:t> </w:t>
      </w:r>
      <w:r w:rsidRPr="00B07D79">
        <w:rPr>
          <w:rFonts w:asciiTheme="minorHAnsi" w:hAnsiTheme="minorHAnsi" w:cs="Arial"/>
        </w:rPr>
        <w:t>téměř celém spektru dopravních prostředků (vše kromě dálkových nákladních automobilů, dálkových autobusů a</w:t>
      </w:r>
      <w:r w:rsidR="00CF2351" w:rsidRPr="00B07D79">
        <w:rPr>
          <w:rFonts w:asciiTheme="minorHAnsi" w:hAnsiTheme="minorHAnsi" w:cs="Arial"/>
        </w:rPr>
        <w:t> </w:t>
      </w:r>
      <w:r w:rsidRPr="00B07D79">
        <w:rPr>
          <w:rFonts w:asciiTheme="minorHAnsi" w:hAnsiTheme="minorHAnsi" w:cs="Arial"/>
        </w:rPr>
        <w:t>letadel):</w:t>
      </w:r>
    </w:p>
    <w:p w14:paraId="501F7203"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motocykly,</w:t>
      </w:r>
    </w:p>
    <w:p w14:paraId="6165C59D"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osobní automobily,</w:t>
      </w:r>
    </w:p>
    <w:p w14:paraId="185B00CA"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autobusy,</w:t>
      </w:r>
    </w:p>
    <w:p w14:paraId="7639F64F"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rozvážkové nákladní automobily,</w:t>
      </w:r>
    </w:p>
    <w:p w14:paraId="28AB25FE"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městská hromadná doprava (metro, tramvaje, trolejbusy),</w:t>
      </w:r>
    </w:p>
    <w:p w14:paraId="48DD4D53"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železnice,</w:t>
      </w:r>
    </w:p>
    <w:p w14:paraId="6CEC5100"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 xml:space="preserve">plavidla.   </w:t>
      </w:r>
    </w:p>
    <w:p w14:paraId="40EC63C3" w14:textId="402F84AE"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Potenciální investor (vlastník nebo uživatel vozidla, respektive plavidla či letadla) se při volbě dopravního prostředku (bezemisní nebo spalovací) rozhoduje podle nákladů jeho životního cyklu (LCC). Ty mají v</w:t>
      </w:r>
      <w:r w:rsidR="00CF2351" w:rsidRPr="00B07D79">
        <w:rPr>
          <w:rFonts w:asciiTheme="minorHAnsi" w:hAnsiTheme="minorHAnsi" w:cs="Arial"/>
        </w:rPr>
        <w:t> </w:t>
      </w:r>
      <w:r w:rsidRPr="00B07D79">
        <w:rPr>
          <w:rFonts w:asciiTheme="minorHAnsi" w:hAnsiTheme="minorHAnsi" w:cs="Arial"/>
        </w:rPr>
        <w:t>té nejjednodušší (a často praktikované) formě podobu</w:t>
      </w:r>
      <w:r w:rsidRPr="00B07D79">
        <w:rPr>
          <w:rStyle w:val="Znakapoznpodarou"/>
          <w:rFonts w:asciiTheme="minorHAnsi" w:hAnsiTheme="minorHAnsi" w:cs="Arial"/>
        </w:rPr>
        <w:footnoteReference w:id="15"/>
      </w:r>
      <w:r w:rsidRPr="00B07D79">
        <w:rPr>
          <w:rFonts w:asciiTheme="minorHAnsi" w:hAnsiTheme="minorHAnsi" w:cs="Arial"/>
        </w:rPr>
        <w:t>:</w:t>
      </w:r>
    </w:p>
    <w:p w14:paraId="47BC05EF" w14:textId="22002374"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 = I</w:t>
      </w:r>
      <w:r w:rsidR="00CF2351" w:rsidRPr="00B07D79">
        <w:rPr>
          <w:rFonts w:asciiTheme="minorHAnsi" w:hAnsiTheme="minorHAnsi" w:cs="Arial"/>
        </w:rPr>
        <w:t> </w:t>
      </w:r>
      <w:r w:rsidRPr="00B07D79">
        <w:rPr>
          <w:rFonts w:asciiTheme="minorHAnsi" w:hAnsiTheme="minorHAnsi" w:cs="Arial"/>
        </w:rPr>
        <w:t>+ P</w:t>
      </w:r>
      <w:r w:rsidR="00CF2351" w:rsidRPr="00B07D79">
        <w:rPr>
          <w:rFonts w:asciiTheme="minorHAnsi" w:hAnsiTheme="minorHAnsi" w:cs="Arial"/>
        </w:rPr>
        <w:t> </w:t>
      </w:r>
      <w:r w:rsidRPr="00B07D79">
        <w:rPr>
          <w:rFonts w:asciiTheme="minorHAnsi" w:hAnsiTheme="minorHAnsi" w:cs="Arial"/>
        </w:rPr>
        <w:t>= I</w:t>
      </w:r>
      <w:r w:rsidR="00CF2351" w:rsidRPr="00B07D79">
        <w:rPr>
          <w:rFonts w:asciiTheme="minorHAnsi" w:hAnsiTheme="minorHAnsi" w:cs="Arial"/>
        </w:rPr>
        <w:t> </w:t>
      </w:r>
      <w:r w:rsidRPr="00B07D79">
        <w:rPr>
          <w:rFonts w:asciiTheme="minorHAnsi" w:hAnsiTheme="minorHAnsi" w:cs="Arial"/>
        </w:rPr>
        <w:t xml:space="preserve">+ </w:t>
      </w:r>
      <w:proofErr w:type="gramStart"/>
      <w:r w:rsidRPr="00B07D79">
        <w:rPr>
          <w:rFonts w:asciiTheme="minorHAnsi" w:hAnsiTheme="minorHAnsi" w:cs="Arial"/>
        </w:rPr>
        <w:t>p</w:t>
      </w:r>
      <w:r w:rsidR="00CF2351" w:rsidRPr="00B07D79">
        <w:rPr>
          <w:rFonts w:asciiTheme="minorHAnsi" w:hAnsiTheme="minorHAnsi" w:cs="Arial"/>
        </w:rPr>
        <w:t> </w:t>
      </w:r>
      <w:r w:rsidRPr="00B07D79">
        <w:rPr>
          <w:rFonts w:asciiTheme="minorHAnsi" w:hAnsiTheme="minorHAnsi" w:cs="Arial"/>
        </w:rPr>
        <w:t>.</w:t>
      </w:r>
      <w:proofErr w:type="gramEnd"/>
      <w:r w:rsidRPr="00B07D79">
        <w:rPr>
          <w:rFonts w:asciiTheme="minorHAnsi" w:hAnsiTheme="minorHAnsi" w:cs="Arial"/>
        </w:rPr>
        <w:t xml:space="preserve"> L</w:t>
      </w:r>
      <w:r w:rsidR="00CF2351" w:rsidRPr="00B07D79">
        <w:rPr>
          <w:rFonts w:asciiTheme="minorHAnsi" w:hAnsiTheme="minorHAnsi" w:cs="Arial"/>
        </w:rPr>
        <w:t> </w:t>
      </w:r>
      <w:r w:rsidRPr="00B07D79">
        <w:rPr>
          <w:rFonts w:asciiTheme="minorHAnsi" w:hAnsiTheme="minorHAnsi" w:cs="Arial"/>
        </w:rPr>
        <w:t xml:space="preserve">+ </w:t>
      </w:r>
      <w:proofErr w:type="gramStart"/>
      <w:r w:rsidRPr="00B07D79">
        <w:rPr>
          <w:rFonts w:asciiTheme="minorHAnsi" w:hAnsiTheme="minorHAnsi" w:cs="Arial"/>
        </w:rPr>
        <w:t>c</w:t>
      </w:r>
      <w:r w:rsidR="00CF2351" w:rsidRPr="00B07D79">
        <w:rPr>
          <w:rFonts w:asciiTheme="minorHAnsi" w:hAnsiTheme="minorHAnsi" w:cs="Arial"/>
        </w:rPr>
        <w:t> </w:t>
      </w:r>
      <w:r w:rsidRPr="00B07D79">
        <w:rPr>
          <w:rFonts w:asciiTheme="minorHAnsi" w:hAnsiTheme="minorHAnsi" w:cs="Arial"/>
        </w:rPr>
        <w:t>.</w:t>
      </w:r>
      <w:proofErr w:type="gramEnd"/>
      <w:r w:rsidRPr="00B07D79">
        <w:rPr>
          <w:rFonts w:asciiTheme="minorHAnsi" w:hAnsiTheme="minorHAnsi" w:cs="Arial"/>
        </w:rPr>
        <w:t xml:space="preserve"> </w:t>
      </w:r>
      <w:proofErr w:type="gramStart"/>
      <w:r w:rsidRPr="00B07D79">
        <w:rPr>
          <w:rFonts w:asciiTheme="minorHAnsi" w:hAnsiTheme="minorHAnsi" w:cs="Arial"/>
        </w:rPr>
        <w:t>e</w:t>
      </w:r>
      <w:r w:rsidR="00CF2351" w:rsidRPr="00B07D79">
        <w:rPr>
          <w:rFonts w:asciiTheme="minorHAnsi" w:hAnsiTheme="minorHAnsi" w:cs="Arial"/>
        </w:rPr>
        <w:t> </w:t>
      </w:r>
      <w:r w:rsidRPr="00B07D79">
        <w:rPr>
          <w:rFonts w:asciiTheme="minorHAnsi" w:hAnsiTheme="minorHAnsi" w:cs="Arial"/>
        </w:rPr>
        <w:t>.</w:t>
      </w:r>
      <w:proofErr w:type="gramEnd"/>
      <w:r w:rsidRPr="00B07D79">
        <w:rPr>
          <w:rFonts w:asciiTheme="minorHAnsi" w:hAnsiTheme="minorHAnsi" w:cs="Arial"/>
        </w:rPr>
        <w:t xml:space="preserve"> L</w:t>
      </w:r>
    </w:p>
    <w:p w14:paraId="133C705A"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 … náklady životního cyklu (Kč),</w:t>
      </w:r>
    </w:p>
    <w:p w14:paraId="10AEEDF6"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 xml:space="preserve">I … investiční náklady (Kč), </w:t>
      </w:r>
    </w:p>
    <w:p w14:paraId="21EBB1DD"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 … provozní náklady na energii (Kč),</w:t>
      </w:r>
    </w:p>
    <w:p w14:paraId="6A13274D"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 … gradient provozních nákladů na energii (Kč/km),</w:t>
      </w:r>
    </w:p>
    <w:p w14:paraId="7BD7A1C4"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c … cena energie (Kč/kWh),</w:t>
      </w:r>
    </w:p>
    <w:p w14:paraId="1A65D284"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e … gradient spotřeby energie (kWh/km)</w:t>
      </w:r>
    </w:p>
    <w:p w14:paraId="4F49E499"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 xml:space="preserve">L … proběh za život (km) </w:t>
      </w:r>
    </w:p>
    <w:p w14:paraId="60D3A8D5" w14:textId="0DB2BB96"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Elektrická vozidla neprodukují žádné emise zdraví škodlivých látek. Produkce elektrické energie z</w:t>
      </w:r>
      <w:r w:rsidR="00CF2351" w:rsidRPr="00B07D79">
        <w:rPr>
          <w:rFonts w:asciiTheme="minorHAnsi" w:hAnsiTheme="minorHAnsi" w:cs="Arial"/>
        </w:rPr>
        <w:t> </w:t>
      </w:r>
      <w:r w:rsidRPr="00B07D79">
        <w:rPr>
          <w:rFonts w:asciiTheme="minorHAnsi" w:hAnsiTheme="minorHAnsi" w:cs="Arial"/>
        </w:rPr>
        <w:t>fosilních paliv je programově utlumována (v roce 2019 činil podíl uhelných elektráren 43 % s</w:t>
      </w:r>
      <w:r w:rsidR="00CF2351" w:rsidRPr="00B07D79">
        <w:rPr>
          <w:rFonts w:asciiTheme="minorHAnsi" w:hAnsiTheme="minorHAnsi" w:cs="Arial"/>
        </w:rPr>
        <w:t> </w:t>
      </w:r>
      <w:r w:rsidRPr="00B07D79">
        <w:rPr>
          <w:rFonts w:asciiTheme="minorHAnsi" w:hAnsiTheme="minorHAnsi" w:cs="Arial"/>
        </w:rPr>
        <w:t>cílem postupně ukončit jejich provoz do roku 2038), zatím co spalovací motory produkují emise zdraví škodlivých látek (NO</w:t>
      </w:r>
      <w:r w:rsidRPr="00B07D79">
        <w:rPr>
          <w:rFonts w:asciiTheme="minorHAnsi" w:hAnsiTheme="minorHAnsi" w:cs="Arial"/>
          <w:vertAlign w:val="subscript"/>
        </w:rPr>
        <w:t>x</w:t>
      </w:r>
      <w:r w:rsidRPr="00B07D79">
        <w:rPr>
          <w:rFonts w:asciiTheme="minorHAnsi" w:hAnsiTheme="minorHAnsi" w:cs="Arial"/>
        </w:rPr>
        <w:t>, PM, PAH, VOC, …) a</w:t>
      </w:r>
      <w:r w:rsidR="00CF2351" w:rsidRPr="00B07D79">
        <w:rPr>
          <w:rFonts w:asciiTheme="minorHAnsi" w:hAnsiTheme="minorHAnsi" w:cs="Arial"/>
        </w:rPr>
        <w:t> </w:t>
      </w:r>
      <w:r w:rsidRPr="00B07D79">
        <w:rPr>
          <w:rFonts w:asciiTheme="minorHAnsi" w:hAnsiTheme="minorHAnsi" w:cs="Arial"/>
        </w:rPr>
        <w:t>pohonné hmoty pro ně jsou 95 % tvořena fosilními palivy. Tyto reálné skutečnosti nejsou v</w:t>
      </w:r>
      <w:r w:rsidR="00CF2351" w:rsidRPr="00B07D79">
        <w:rPr>
          <w:rFonts w:asciiTheme="minorHAnsi" w:hAnsiTheme="minorHAnsi" w:cs="Arial"/>
        </w:rPr>
        <w:t> </w:t>
      </w:r>
      <w:r w:rsidRPr="00B07D79">
        <w:rPr>
          <w:rFonts w:asciiTheme="minorHAnsi" w:hAnsiTheme="minorHAnsi" w:cs="Arial"/>
        </w:rPr>
        <w:t xml:space="preserve">provozních nákladech dopravy nijak ohodnoceny. Podstatné je, jak </w:t>
      </w:r>
      <w:r w:rsidRPr="00B07D79">
        <w:rPr>
          <w:rFonts w:asciiTheme="minorHAnsi" w:hAnsiTheme="minorHAnsi" w:cs="Arial"/>
        </w:rPr>
        <w:lastRenderedPageBreak/>
        <w:t>státní regulatorní opatření ovlivňují cenu energie. Současná pravidla působí vůči čisté mobilitě velmi diskriminačně, a</w:t>
      </w:r>
      <w:r w:rsidR="00CF2351" w:rsidRPr="00B07D79">
        <w:rPr>
          <w:rFonts w:asciiTheme="minorHAnsi" w:hAnsiTheme="minorHAnsi" w:cs="Arial"/>
        </w:rPr>
        <w:t> </w:t>
      </w:r>
      <w:r w:rsidRPr="00B07D79">
        <w:rPr>
          <w:rFonts w:asciiTheme="minorHAnsi" w:hAnsiTheme="minorHAnsi" w:cs="Arial"/>
        </w:rPr>
        <w:t>to ve třech faktorech:</w:t>
      </w:r>
    </w:p>
    <w:p w14:paraId="3300D8C2" w14:textId="1AF9A3B2"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elektrická energie pro drážní dopravu byla až do změny zákona č. 165/2012 Sb., o</w:t>
      </w:r>
      <w:r w:rsidR="00CF2351" w:rsidRPr="00B07D79">
        <w:rPr>
          <w:rFonts w:asciiTheme="minorHAnsi" w:hAnsiTheme="minorHAnsi" w:cs="Arial"/>
        </w:rPr>
        <w:t> </w:t>
      </w:r>
      <w:r w:rsidRPr="00B07D79">
        <w:rPr>
          <w:rFonts w:asciiTheme="minorHAnsi" w:hAnsiTheme="minorHAnsi" w:cs="Arial"/>
        </w:rPr>
        <w:t>podporovaných zdrojích energie a</w:t>
      </w:r>
      <w:r w:rsidR="00CF2351" w:rsidRPr="00B07D79">
        <w:rPr>
          <w:rFonts w:asciiTheme="minorHAnsi" w:hAnsiTheme="minorHAnsi" w:cs="Arial"/>
        </w:rPr>
        <w:t> </w:t>
      </w:r>
      <w:r w:rsidRPr="00B07D79">
        <w:rPr>
          <w:rFonts w:asciiTheme="minorHAnsi" w:hAnsiTheme="minorHAnsi" w:cs="Arial"/>
        </w:rPr>
        <w:t>o změně některých zákonů, ve znění pozdějších předpisů, do roku 2021 zatížena platbou poplatku na podporu obnovitelných zdrojů energie (POZE) ve výši 0,50 Kč/kWh. Drážní doprava již je od roku 2022 od této platby osvobozena. Avšak elektrická energie pro silniční dopravu je platbou POZE dále zatížena. Zatímco v</w:t>
      </w:r>
      <w:r w:rsidR="00CF2351" w:rsidRPr="00B07D79">
        <w:rPr>
          <w:rFonts w:asciiTheme="minorHAnsi" w:hAnsiTheme="minorHAnsi" w:cs="Arial"/>
        </w:rPr>
        <w:t> </w:t>
      </w:r>
      <w:r w:rsidRPr="00B07D79">
        <w:rPr>
          <w:rFonts w:asciiTheme="minorHAnsi" w:hAnsiTheme="minorHAnsi" w:cs="Arial"/>
        </w:rPr>
        <w:t>ceně motorové nafty s</w:t>
      </w:r>
      <w:r w:rsidR="00CF2351" w:rsidRPr="00B07D79">
        <w:rPr>
          <w:rFonts w:asciiTheme="minorHAnsi" w:hAnsiTheme="minorHAnsi" w:cs="Arial"/>
        </w:rPr>
        <w:t> </w:t>
      </w:r>
      <w:r w:rsidRPr="00B07D79">
        <w:rPr>
          <w:rFonts w:asciiTheme="minorHAnsi" w:hAnsiTheme="minorHAnsi" w:cs="Arial"/>
        </w:rPr>
        <w:t xml:space="preserve">energetickým obsahem (výhřevností) 10 kWh/litr platba POZE 5 Kč/litr zahrnuta není,  </w:t>
      </w:r>
    </w:p>
    <w:p w14:paraId="42885B19" w14:textId="2E25075F"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výroba elektrické energie v</w:t>
      </w:r>
      <w:r w:rsidR="00CF2351" w:rsidRPr="00B07D79">
        <w:rPr>
          <w:rFonts w:asciiTheme="minorHAnsi" w:hAnsiTheme="minorHAnsi" w:cs="Arial"/>
        </w:rPr>
        <w:t> </w:t>
      </w:r>
      <w:r w:rsidRPr="00B07D79">
        <w:rPr>
          <w:rFonts w:asciiTheme="minorHAnsi" w:hAnsiTheme="minorHAnsi" w:cs="Arial"/>
        </w:rPr>
        <w:t>elektrárnách je zahrnuta do oblasti regulované emisními povolenkami EU ETS. V</w:t>
      </w:r>
      <w:r w:rsidR="00CF2351" w:rsidRPr="00B07D79">
        <w:rPr>
          <w:rFonts w:asciiTheme="minorHAnsi" w:hAnsiTheme="minorHAnsi" w:cs="Arial"/>
        </w:rPr>
        <w:t> </w:t>
      </w:r>
      <w:r w:rsidRPr="00B07D79">
        <w:rPr>
          <w:rFonts w:asciiTheme="minorHAnsi" w:hAnsiTheme="minorHAnsi" w:cs="Arial"/>
        </w:rPr>
        <w:t>tržní ceně elektrické energie jsou proto zahrnuty náklady elektráren na nákup emisních povolenek. V</w:t>
      </w:r>
      <w:r w:rsidR="00CF2351" w:rsidRPr="00B07D79">
        <w:rPr>
          <w:rFonts w:asciiTheme="minorHAnsi" w:hAnsiTheme="minorHAnsi" w:cs="Arial"/>
        </w:rPr>
        <w:t> </w:t>
      </w:r>
      <w:r w:rsidRPr="00B07D79">
        <w:rPr>
          <w:rFonts w:asciiTheme="minorHAnsi" w:hAnsiTheme="minorHAnsi" w:cs="Arial"/>
        </w:rPr>
        <w:t>roce 2022 určovaly v</w:t>
      </w:r>
      <w:r w:rsidR="00CF2351" w:rsidRPr="00B07D79">
        <w:rPr>
          <w:rFonts w:asciiTheme="minorHAnsi" w:hAnsiTheme="minorHAnsi" w:cs="Arial"/>
        </w:rPr>
        <w:t> </w:t>
      </w:r>
      <w:r w:rsidRPr="00B07D79">
        <w:rPr>
          <w:rFonts w:asciiTheme="minorHAnsi" w:hAnsiTheme="minorHAnsi" w:cs="Arial"/>
        </w:rPr>
        <w:t>EU cenu elektrické energie plynové elektrárny. Určující roli cen elektrické energie opět přebírají uhelné elektrárny. Ty při účinnosti 36 % a</w:t>
      </w:r>
      <w:r w:rsidR="00CF2351" w:rsidRPr="00B07D79">
        <w:rPr>
          <w:rFonts w:asciiTheme="minorHAnsi" w:hAnsiTheme="minorHAnsi" w:cs="Arial"/>
        </w:rPr>
        <w:t> </w:t>
      </w:r>
      <w:r w:rsidRPr="00B07D79">
        <w:rPr>
          <w:rFonts w:asciiTheme="minorHAnsi" w:hAnsiTheme="minorHAnsi" w:cs="Arial"/>
        </w:rPr>
        <w:t>měrné emisivitě uhlí 0,36 kg CO</w:t>
      </w:r>
      <w:r w:rsidRPr="00B07D79">
        <w:rPr>
          <w:rFonts w:asciiTheme="minorHAnsi" w:hAnsiTheme="minorHAnsi" w:cs="Arial"/>
          <w:vertAlign w:val="subscript"/>
        </w:rPr>
        <w:t>2</w:t>
      </w:r>
      <w:r w:rsidRPr="00B07D79">
        <w:rPr>
          <w:rFonts w:asciiTheme="minorHAnsi" w:hAnsiTheme="minorHAnsi" w:cs="Arial"/>
        </w:rPr>
        <w:t>/kWh produkují 1 kg oxidu uhličitého na 1 kWh elektrické energie. To při aktuální tržní ceně emisních povolenek EU ETS v</w:t>
      </w:r>
      <w:r w:rsidR="00CF2351" w:rsidRPr="00B07D79">
        <w:rPr>
          <w:rFonts w:asciiTheme="minorHAnsi" w:hAnsiTheme="minorHAnsi" w:cs="Arial"/>
        </w:rPr>
        <w:t> </w:t>
      </w:r>
      <w:r w:rsidRPr="00B07D79">
        <w:rPr>
          <w:rFonts w:asciiTheme="minorHAnsi" w:hAnsiTheme="minorHAnsi" w:cs="Arial"/>
        </w:rPr>
        <w:t>úrovni 100 EUR/t CO</w:t>
      </w:r>
      <w:r w:rsidRPr="00B07D79">
        <w:rPr>
          <w:rFonts w:asciiTheme="minorHAnsi" w:hAnsiTheme="minorHAnsi" w:cs="Arial"/>
          <w:vertAlign w:val="subscript"/>
        </w:rPr>
        <w:t>2</w:t>
      </w:r>
      <w:r w:rsidRPr="00B07D79">
        <w:rPr>
          <w:rFonts w:asciiTheme="minorHAnsi" w:hAnsiTheme="minorHAnsi" w:cs="Arial"/>
        </w:rPr>
        <w:t xml:space="preserve"> a</w:t>
      </w:r>
      <w:r w:rsidR="00CF2351" w:rsidRPr="00B07D79">
        <w:rPr>
          <w:rFonts w:asciiTheme="minorHAnsi" w:hAnsiTheme="minorHAnsi" w:cs="Arial"/>
        </w:rPr>
        <w:t> </w:t>
      </w:r>
      <w:r w:rsidRPr="00B07D79">
        <w:rPr>
          <w:rFonts w:asciiTheme="minorHAnsi" w:hAnsiTheme="minorHAnsi" w:cs="Arial"/>
        </w:rPr>
        <w:t>kurzu 24 Kč/EUR zvyšuje náklad na výrobu elektrické energie o</w:t>
      </w:r>
      <w:r w:rsidR="00CF2351" w:rsidRPr="00B07D79">
        <w:rPr>
          <w:rFonts w:asciiTheme="minorHAnsi" w:hAnsiTheme="minorHAnsi" w:cs="Arial"/>
        </w:rPr>
        <w:t> </w:t>
      </w:r>
      <w:r w:rsidRPr="00B07D79">
        <w:rPr>
          <w:rFonts w:asciiTheme="minorHAnsi" w:hAnsiTheme="minorHAnsi" w:cs="Arial"/>
        </w:rPr>
        <w:t>2,40 Kč/kWh, což pochopitelně přenáší elektrárna do spotřebitelské ceny elektřiny. Při spálení 1 litru motorové nafty vzniká 2,65 kg oxidu uhličitého. Avšak v</w:t>
      </w:r>
      <w:r w:rsidR="00CF2351" w:rsidRPr="00B07D79">
        <w:rPr>
          <w:rFonts w:asciiTheme="minorHAnsi" w:hAnsiTheme="minorHAnsi" w:cs="Arial"/>
        </w:rPr>
        <w:t> </w:t>
      </w:r>
      <w:r w:rsidRPr="00B07D79">
        <w:rPr>
          <w:rFonts w:asciiTheme="minorHAnsi" w:hAnsiTheme="minorHAnsi" w:cs="Arial"/>
        </w:rPr>
        <w:t>ceně motorové nafty ekvivalentní platba 2,</w:t>
      </w:r>
      <w:proofErr w:type="gramStart"/>
      <w:r w:rsidRPr="00B07D79">
        <w:rPr>
          <w:rFonts w:asciiTheme="minorHAnsi" w:hAnsiTheme="minorHAnsi" w:cs="Arial"/>
        </w:rPr>
        <w:t>40 .</w:t>
      </w:r>
      <w:proofErr w:type="gramEnd"/>
      <w:r w:rsidRPr="00B07D79">
        <w:rPr>
          <w:rFonts w:asciiTheme="minorHAnsi" w:hAnsiTheme="minorHAnsi" w:cs="Arial"/>
        </w:rPr>
        <w:t xml:space="preserve"> 2,65 = 6,36 Kč/litr zahrnuta není, neboť pohonné hmoty nejsou zahrnuty do oblasti regulované emisními povolenkami EU ETS, to je v</w:t>
      </w:r>
      <w:r w:rsidR="00CF2351" w:rsidRPr="00B07D79">
        <w:rPr>
          <w:rFonts w:asciiTheme="minorHAnsi" w:hAnsiTheme="minorHAnsi" w:cs="Arial"/>
        </w:rPr>
        <w:t> </w:t>
      </w:r>
      <w:r w:rsidRPr="00B07D79">
        <w:rPr>
          <w:rFonts w:asciiTheme="minorHAnsi" w:hAnsiTheme="minorHAnsi" w:cs="Arial"/>
        </w:rPr>
        <w:t>EU chystáno až od roku 2027,</w:t>
      </w:r>
    </w:p>
    <w:p w14:paraId="041BB902" w14:textId="6A4613DD"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provoz spalovacích vozidel je doprovázen produkcí emisí. Podle aktualizované Rezortní metodiky pro hodnocení ekonomické efektivnosti 2022 MD ČR a</w:t>
      </w:r>
      <w:r w:rsidR="00CF2351" w:rsidRPr="00B07D79">
        <w:rPr>
          <w:rFonts w:asciiTheme="minorHAnsi" w:hAnsiTheme="minorHAnsi" w:cs="Arial"/>
        </w:rPr>
        <w:t> </w:t>
      </w:r>
      <w:r w:rsidRPr="00B07D79">
        <w:rPr>
          <w:rFonts w:asciiTheme="minorHAnsi" w:hAnsiTheme="minorHAnsi" w:cs="Arial"/>
        </w:rPr>
        <w:t>SFDI činí externí náklady dopravy spojené s</w:t>
      </w:r>
      <w:r w:rsidR="00CF2351" w:rsidRPr="00B07D79">
        <w:rPr>
          <w:rFonts w:asciiTheme="minorHAnsi" w:hAnsiTheme="minorHAnsi" w:cs="Arial"/>
        </w:rPr>
        <w:t> </w:t>
      </w:r>
      <w:r w:rsidRPr="00B07D79">
        <w:rPr>
          <w:rFonts w:asciiTheme="minorHAnsi" w:hAnsiTheme="minorHAnsi" w:cs="Arial"/>
        </w:rPr>
        <w:t>emisemi (znečištění ovzduší a</w:t>
      </w:r>
      <w:r w:rsidR="00CF2351" w:rsidRPr="00B07D79">
        <w:rPr>
          <w:rFonts w:asciiTheme="minorHAnsi" w:hAnsiTheme="minorHAnsi" w:cs="Arial"/>
        </w:rPr>
        <w:t> </w:t>
      </w:r>
      <w:r w:rsidRPr="00B07D79">
        <w:rPr>
          <w:rFonts w:asciiTheme="minorHAnsi" w:hAnsiTheme="minorHAnsi" w:cs="Arial"/>
        </w:rPr>
        <w:t>změny klimatu):</w:t>
      </w:r>
    </w:p>
    <w:p w14:paraId="36953CEC"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osobní automobil: 1,03 … 1,78 Kč/km (mimo město … město),</w:t>
      </w:r>
    </w:p>
    <w:p w14:paraId="164EF03F"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lehký nákladní automobil: 1,55 … 1,98 Kč/km (mimo město … město),</w:t>
      </w:r>
    </w:p>
    <w:p w14:paraId="6D635170"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těžký nákladní automobil: 6,97 … 8,53 Kč/km (mimo město … město).</w:t>
      </w:r>
    </w:p>
    <w:p w14:paraId="16382A81" w14:textId="61949065" w:rsidR="00543428" w:rsidRPr="00B07D79" w:rsidRDefault="00543428" w:rsidP="00B07D79">
      <w:pPr>
        <w:pStyle w:val="Odstavecseseznamem"/>
        <w:spacing w:line="276" w:lineRule="auto"/>
        <w:ind w:left="708"/>
        <w:jc w:val="both"/>
        <w:rPr>
          <w:rFonts w:asciiTheme="minorHAnsi" w:hAnsiTheme="minorHAnsi" w:cs="Arial"/>
        </w:rPr>
      </w:pPr>
      <w:r w:rsidRPr="00B07D79">
        <w:rPr>
          <w:rFonts w:asciiTheme="minorHAnsi" w:hAnsiTheme="minorHAnsi" w:cs="Arial"/>
        </w:rPr>
        <w:t>Tyto externí náklady výrazně převyšují výnos ze spotřební daně z</w:t>
      </w:r>
      <w:r w:rsidR="00CF2351" w:rsidRPr="00B07D79">
        <w:rPr>
          <w:rFonts w:asciiTheme="minorHAnsi" w:hAnsiTheme="minorHAnsi" w:cs="Arial"/>
        </w:rPr>
        <w:t> </w:t>
      </w:r>
      <w:r w:rsidRPr="00B07D79">
        <w:rPr>
          <w:rFonts w:asciiTheme="minorHAnsi" w:hAnsiTheme="minorHAnsi" w:cs="Arial"/>
        </w:rPr>
        <w:t>minerálních olejů. Ta činila u</w:t>
      </w:r>
      <w:r w:rsidR="00CF2351" w:rsidRPr="00B07D79">
        <w:rPr>
          <w:rFonts w:asciiTheme="minorHAnsi" w:hAnsiTheme="minorHAnsi" w:cs="Arial"/>
        </w:rPr>
        <w:t> </w:t>
      </w:r>
      <w:r w:rsidRPr="00B07D79">
        <w:rPr>
          <w:rFonts w:asciiTheme="minorHAnsi" w:hAnsiTheme="minorHAnsi" w:cs="Arial"/>
        </w:rPr>
        <w:t>motorové nafty v</w:t>
      </w:r>
      <w:r w:rsidR="00CF2351" w:rsidRPr="00B07D79">
        <w:rPr>
          <w:rFonts w:asciiTheme="minorHAnsi" w:hAnsiTheme="minorHAnsi" w:cs="Arial"/>
        </w:rPr>
        <w:t> </w:t>
      </w:r>
      <w:r w:rsidRPr="00B07D79">
        <w:rPr>
          <w:rFonts w:asciiTheme="minorHAnsi" w:hAnsiTheme="minorHAnsi" w:cs="Arial"/>
        </w:rPr>
        <w:t>ČR 10,95 Kč/litr. V</w:t>
      </w:r>
      <w:r w:rsidR="00CF2351" w:rsidRPr="00B07D79">
        <w:rPr>
          <w:rFonts w:asciiTheme="minorHAnsi" w:hAnsiTheme="minorHAnsi" w:cs="Arial"/>
        </w:rPr>
        <w:t> </w:t>
      </w:r>
      <w:r w:rsidRPr="00B07D79">
        <w:rPr>
          <w:rFonts w:asciiTheme="minorHAnsi" w:hAnsiTheme="minorHAnsi" w:cs="Arial"/>
        </w:rPr>
        <w:t>reakci na přechodné zvýšení ceny ropy v</w:t>
      </w:r>
      <w:r w:rsidR="00CF2351" w:rsidRPr="00B07D79">
        <w:rPr>
          <w:rFonts w:asciiTheme="minorHAnsi" w:hAnsiTheme="minorHAnsi" w:cs="Arial"/>
        </w:rPr>
        <w:t> </w:t>
      </w:r>
      <w:r w:rsidRPr="00B07D79">
        <w:rPr>
          <w:rFonts w:asciiTheme="minorHAnsi" w:hAnsiTheme="minorHAnsi" w:cs="Arial"/>
        </w:rPr>
        <w:t>létě roku 2022 byla tato spotřební daň snížena o</w:t>
      </w:r>
      <w:r w:rsidR="00CF2351" w:rsidRPr="00B07D79">
        <w:rPr>
          <w:rFonts w:asciiTheme="minorHAnsi" w:hAnsiTheme="minorHAnsi" w:cs="Arial"/>
        </w:rPr>
        <w:t> </w:t>
      </w:r>
      <w:r w:rsidRPr="00B07D79">
        <w:rPr>
          <w:rFonts w:asciiTheme="minorHAnsi" w:hAnsiTheme="minorHAnsi" w:cs="Arial"/>
        </w:rPr>
        <w:t>2,50 Kč/litr. I</w:t>
      </w:r>
      <w:r w:rsidR="00CF2351" w:rsidRPr="00B07D79">
        <w:rPr>
          <w:rFonts w:asciiTheme="minorHAnsi" w:hAnsiTheme="minorHAnsi" w:cs="Arial"/>
        </w:rPr>
        <w:t> </w:t>
      </w:r>
      <w:r w:rsidRPr="00B07D79">
        <w:rPr>
          <w:rFonts w:asciiTheme="minorHAnsi" w:hAnsiTheme="minorHAnsi" w:cs="Arial"/>
        </w:rPr>
        <w:t>po odeznění cenového výkyvu a</w:t>
      </w:r>
      <w:r w:rsidR="00CF2351" w:rsidRPr="00B07D79">
        <w:rPr>
          <w:rFonts w:asciiTheme="minorHAnsi" w:hAnsiTheme="minorHAnsi" w:cs="Arial"/>
        </w:rPr>
        <w:t> </w:t>
      </w:r>
      <w:r w:rsidRPr="00B07D79">
        <w:rPr>
          <w:rFonts w:asciiTheme="minorHAnsi" w:hAnsiTheme="minorHAnsi" w:cs="Arial"/>
        </w:rPr>
        <w:t>návratu ceny ropy na standardní úroveň zůstala doposud v</w:t>
      </w:r>
      <w:r w:rsidR="00CF2351" w:rsidRPr="00B07D79">
        <w:rPr>
          <w:rFonts w:asciiTheme="minorHAnsi" w:hAnsiTheme="minorHAnsi" w:cs="Arial"/>
        </w:rPr>
        <w:t> </w:t>
      </w:r>
      <w:r w:rsidRPr="00B07D79">
        <w:rPr>
          <w:rFonts w:asciiTheme="minorHAnsi" w:hAnsiTheme="minorHAnsi" w:cs="Arial"/>
        </w:rPr>
        <w:t>ČR cena motorové nafty na snížené úrovni 8,49 Kč/litr.</w:t>
      </w:r>
    </w:p>
    <w:p w14:paraId="03C3513D"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 xml:space="preserve">Dopad cenové diskriminace elektrické energie vůči ceně importovaných fosilních paliv pro dopravní prostředky je zásadní. </w:t>
      </w:r>
    </w:p>
    <w:p w14:paraId="77103160" w14:textId="10F8C5EE"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Ve městech zpravidla nejsou ani lokální topeniště ani znečišťující průmysl, dominantním (cca 90 %) znečišťovatelem ovzduší je ve městech doprava. Zásadním krokem pro ozdravení ovzduší ve městech je náhrada spalovacích automobilů elektrickými. Investice do individuálně vlastněných a</w:t>
      </w:r>
      <w:r w:rsidR="00CF2351" w:rsidRPr="00B07D79">
        <w:rPr>
          <w:rFonts w:asciiTheme="minorHAnsi" w:hAnsiTheme="minorHAnsi" w:cs="Arial"/>
        </w:rPr>
        <w:t> </w:t>
      </w:r>
      <w:r w:rsidRPr="00B07D79">
        <w:rPr>
          <w:rFonts w:asciiTheme="minorHAnsi" w:hAnsiTheme="minorHAnsi" w:cs="Arial"/>
        </w:rPr>
        <w:t>individuálně používaných osobních automobilu je jak u</w:t>
      </w:r>
      <w:r w:rsidR="00CF2351" w:rsidRPr="00B07D79">
        <w:rPr>
          <w:rFonts w:asciiTheme="minorHAnsi" w:hAnsiTheme="minorHAnsi" w:cs="Arial"/>
        </w:rPr>
        <w:t> </w:t>
      </w:r>
      <w:r w:rsidRPr="00B07D79">
        <w:rPr>
          <w:rFonts w:asciiTheme="minorHAnsi" w:hAnsiTheme="minorHAnsi" w:cs="Arial"/>
        </w:rPr>
        <w:t>spalovacích, tak u</w:t>
      </w:r>
      <w:r w:rsidR="00CF2351" w:rsidRPr="00B07D79">
        <w:rPr>
          <w:rFonts w:asciiTheme="minorHAnsi" w:hAnsiTheme="minorHAnsi" w:cs="Arial"/>
        </w:rPr>
        <w:t> </w:t>
      </w:r>
      <w:r w:rsidRPr="00B07D79">
        <w:rPr>
          <w:rFonts w:asciiTheme="minorHAnsi" w:hAnsiTheme="minorHAnsi" w:cs="Arial"/>
        </w:rPr>
        <w:t>elektrických automobilů ekonomicky obtížně zdůvodnitelná. To je primárně dáno velmi nízkým časovým využitím osobních automobilů a</w:t>
      </w:r>
      <w:r w:rsidR="00CF2351" w:rsidRPr="00B07D79">
        <w:rPr>
          <w:rFonts w:asciiTheme="minorHAnsi" w:hAnsiTheme="minorHAnsi" w:cs="Arial"/>
        </w:rPr>
        <w:t> </w:t>
      </w:r>
      <w:r w:rsidRPr="00B07D79">
        <w:rPr>
          <w:rFonts w:asciiTheme="minorHAnsi" w:hAnsiTheme="minorHAnsi" w:cs="Arial"/>
        </w:rPr>
        <w:t>nízkým denním proběhem. Ekonomicky efektivnější se ukazuje oblast městské logistiky (první a</w:t>
      </w:r>
      <w:r w:rsidR="00CF2351" w:rsidRPr="00B07D79">
        <w:rPr>
          <w:rFonts w:asciiTheme="minorHAnsi" w:hAnsiTheme="minorHAnsi" w:cs="Arial"/>
        </w:rPr>
        <w:t> </w:t>
      </w:r>
      <w:r w:rsidRPr="00B07D79">
        <w:rPr>
          <w:rFonts w:asciiTheme="minorHAnsi" w:hAnsiTheme="minorHAnsi" w:cs="Arial"/>
        </w:rPr>
        <w:t>poslední míle v</w:t>
      </w:r>
      <w:r w:rsidR="00CF2351" w:rsidRPr="00B07D79">
        <w:rPr>
          <w:rFonts w:asciiTheme="minorHAnsi" w:hAnsiTheme="minorHAnsi" w:cs="Arial"/>
        </w:rPr>
        <w:t> </w:t>
      </w:r>
      <w:r w:rsidRPr="00B07D79">
        <w:rPr>
          <w:rFonts w:asciiTheme="minorHAnsi" w:hAnsiTheme="minorHAnsi" w:cs="Arial"/>
        </w:rPr>
        <w:t>kombinované dopravě, zásobování, služby), ve které je automobil denně využíván zpravidla 8 hodin a</w:t>
      </w:r>
      <w:r w:rsidR="00CF2351" w:rsidRPr="00B07D79">
        <w:rPr>
          <w:rFonts w:asciiTheme="minorHAnsi" w:hAnsiTheme="minorHAnsi" w:cs="Arial"/>
        </w:rPr>
        <w:t> </w:t>
      </w:r>
      <w:r w:rsidRPr="00B07D79">
        <w:rPr>
          <w:rFonts w:asciiTheme="minorHAnsi" w:hAnsiTheme="minorHAnsi" w:cs="Arial"/>
        </w:rPr>
        <w:t>ujede cca 200 km. To vytváří příznivé technické i</w:t>
      </w:r>
      <w:r w:rsidR="00CF2351" w:rsidRPr="00B07D79">
        <w:rPr>
          <w:rFonts w:asciiTheme="minorHAnsi" w:hAnsiTheme="minorHAnsi" w:cs="Arial"/>
        </w:rPr>
        <w:t> </w:t>
      </w:r>
      <w:r w:rsidRPr="00B07D79">
        <w:rPr>
          <w:rFonts w:asciiTheme="minorHAnsi" w:hAnsiTheme="minorHAnsi" w:cs="Arial"/>
        </w:rPr>
        <w:t>ekonomické podmínky pro aplikaci elektrických nákladních automobilů:</w:t>
      </w:r>
    </w:p>
    <w:p w14:paraId="43433420" w14:textId="2062C9BA"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lastRenderedPageBreak/>
        <w:t>elektrické nákladní automobily vhodné pro rozvážkovou službu (s dojezdem 200 až 300 km) již nabízí automobilový průmysl v</w:t>
      </w:r>
      <w:r w:rsidR="00CF2351" w:rsidRPr="00B07D79">
        <w:rPr>
          <w:rFonts w:asciiTheme="minorHAnsi" w:hAnsiTheme="minorHAnsi" w:cs="Arial"/>
        </w:rPr>
        <w:t> </w:t>
      </w:r>
      <w:r w:rsidRPr="00B07D79">
        <w:rPr>
          <w:rFonts w:asciiTheme="minorHAnsi" w:hAnsiTheme="minorHAnsi" w:cs="Arial"/>
        </w:rPr>
        <w:t>celém spektru velikostí od nejmenších dodávkových vozů až po největší vozy (tahače),</w:t>
      </w:r>
    </w:p>
    <w:p w14:paraId="04337A08" w14:textId="586C198D"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lze je přes noc levně pomalu nabíjet nízkým výkonem přímým připojením k</w:t>
      </w:r>
      <w:r w:rsidR="00CF2351" w:rsidRPr="00B07D79">
        <w:rPr>
          <w:rFonts w:asciiTheme="minorHAnsi" w:hAnsiTheme="minorHAnsi" w:cs="Arial"/>
        </w:rPr>
        <w:t> </w:t>
      </w:r>
      <w:r w:rsidRPr="00B07D79">
        <w:rPr>
          <w:rFonts w:asciiTheme="minorHAnsi" w:hAnsiTheme="minorHAnsi" w:cs="Arial"/>
        </w:rPr>
        <w:t>3 AC distribuční síti 3 x</w:t>
      </w:r>
      <w:r w:rsidR="00CF2351" w:rsidRPr="00B07D79">
        <w:rPr>
          <w:rFonts w:asciiTheme="minorHAnsi" w:hAnsiTheme="minorHAnsi" w:cs="Arial"/>
        </w:rPr>
        <w:t> </w:t>
      </w:r>
      <w:r w:rsidRPr="00B07D79">
        <w:rPr>
          <w:rFonts w:asciiTheme="minorHAnsi" w:hAnsiTheme="minorHAnsi" w:cs="Arial"/>
        </w:rPr>
        <w:t>230/400 V</w:t>
      </w:r>
      <w:r w:rsidR="00CF2351" w:rsidRPr="00B07D79">
        <w:rPr>
          <w:rFonts w:asciiTheme="minorHAnsi" w:hAnsiTheme="minorHAnsi" w:cs="Arial"/>
        </w:rPr>
        <w:t> </w:t>
      </w:r>
      <w:r w:rsidRPr="00B07D79">
        <w:rPr>
          <w:rFonts w:asciiTheme="minorHAnsi" w:hAnsiTheme="minorHAnsi" w:cs="Arial"/>
        </w:rPr>
        <w:t>50 Hz,</w:t>
      </w:r>
    </w:p>
    <w:p w14:paraId="45DD468B" w14:textId="66BB67ED"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nepotřebují budovat podél silnic nácestné nabíjecí stanice s</w:t>
      </w:r>
      <w:r w:rsidR="00CF2351" w:rsidRPr="00B07D79">
        <w:rPr>
          <w:rFonts w:asciiTheme="minorHAnsi" w:hAnsiTheme="minorHAnsi" w:cs="Arial"/>
        </w:rPr>
        <w:t> </w:t>
      </w:r>
      <w:r w:rsidRPr="00B07D79">
        <w:rPr>
          <w:rFonts w:asciiTheme="minorHAnsi" w:hAnsiTheme="minorHAnsi" w:cs="Arial"/>
        </w:rPr>
        <w:t xml:space="preserve">vysoce výkonnými DC nabíjecími zdroji, </w:t>
      </w:r>
    </w:p>
    <w:p w14:paraId="54E820D4" w14:textId="0B377D64"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jejich environmentální přívětivost působí v</w:t>
      </w:r>
      <w:r w:rsidR="00CF2351" w:rsidRPr="00B07D79">
        <w:rPr>
          <w:rFonts w:asciiTheme="minorHAnsi" w:hAnsiTheme="minorHAnsi" w:cs="Arial"/>
        </w:rPr>
        <w:t> </w:t>
      </w:r>
      <w:r w:rsidRPr="00B07D79">
        <w:rPr>
          <w:rFonts w:asciiTheme="minorHAnsi" w:hAnsiTheme="minorHAnsi" w:cs="Arial"/>
        </w:rPr>
        <w:t>silně osídlených oblastech,</w:t>
      </w:r>
    </w:p>
    <w:p w14:paraId="68405927" w14:textId="1A6758FE"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je velké množství míst, kde je možno je aplikovat (v roce 2019 činila v</w:t>
      </w:r>
      <w:r w:rsidR="00CF2351" w:rsidRPr="00B07D79">
        <w:rPr>
          <w:rFonts w:asciiTheme="minorHAnsi" w:hAnsiTheme="minorHAnsi" w:cs="Arial"/>
        </w:rPr>
        <w:t> </w:t>
      </w:r>
      <w:r w:rsidRPr="00B07D79">
        <w:rPr>
          <w:rFonts w:asciiTheme="minorHAnsi" w:hAnsiTheme="minorHAnsi" w:cs="Arial"/>
        </w:rPr>
        <w:t>ČR průměrná přepravní vzdálenost ve vnitrostátní silniční nákladní automobilové dopravě 53 km).</w:t>
      </w:r>
    </w:p>
    <w:p w14:paraId="07A91BD7" w14:textId="50FED3BE"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Podstatným tématem je ekonomická motivace dopravce. Elektrický automobil je investičně dražší než automobil se spalovacím motorem, ale provozně je levnější než automobil se spalovacím motorem</w:t>
      </w:r>
      <w:r w:rsidR="00377C8E" w:rsidRPr="00B07D79">
        <w:rPr>
          <w:rFonts w:asciiTheme="minorHAnsi" w:hAnsiTheme="minorHAnsi" w:cs="Arial"/>
        </w:rPr>
        <w:t>.</w:t>
      </w:r>
      <w:r w:rsidRPr="00B07D79">
        <w:rPr>
          <w:rStyle w:val="Znakapoznpodarou"/>
          <w:rFonts w:asciiTheme="minorHAnsi" w:hAnsiTheme="minorHAnsi" w:cs="Arial"/>
        </w:rPr>
        <w:footnoteReference w:id="16"/>
      </w:r>
    </w:p>
    <w:p w14:paraId="7D9DC571" w14:textId="777777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Důležité je, aby návratnost vyšší investice do pořízení elektrického automobilu (paritní bod vyrovnání vyšších investičních nákladů nižšími provozními náklady nastal již po akceptovatelně dlouhém proběhu, respektive době provozu automobilu, nikoliv až (teoreticky) po skončení technického života automobilu:</w:t>
      </w:r>
    </w:p>
    <w:p w14:paraId="28AC850D" w14:textId="77777777" w:rsidR="00543428" w:rsidRPr="00B07D79" w:rsidRDefault="00543428" w:rsidP="00B07D79">
      <w:pPr>
        <w:spacing w:line="276" w:lineRule="auto"/>
        <w:jc w:val="both"/>
        <w:rPr>
          <w:rFonts w:asciiTheme="minorHAnsi" w:hAnsiTheme="minorHAnsi" w:cs="Arial"/>
        </w:rPr>
      </w:pPr>
      <w:proofErr w:type="spellStart"/>
      <w:r w:rsidRPr="00B07D79">
        <w:rPr>
          <w:rFonts w:asciiTheme="minorHAnsi" w:hAnsiTheme="minorHAnsi" w:cs="Arial"/>
        </w:rPr>
        <w:t>L</w:t>
      </w:r>
      <w:r w:rsidRPr="00B07D79">
        <w:rPr>
          <w:rFonts w:asciiTheme="minorHAnsi" w:hAnsiTheme="minorHAnsi" w:cs="Arial"/>
          <w:vertAlign w:val="subscript"/>
        </w:rPr>
        <w:t>p</w:t>
      </w:r>
      <w:proofErr w:type="spellEnd"/>
      <w:r w:rsidRPr="00B07D79">
        <w:rPr>
          <w:rFonts w:asciiTheme="minorHAnsi" w:hAnsiTheme="minorHAnsi" w:cs="Arial"/>
        </w:rPr>
        <w:t xml:space="preserve"> = (N</w:t>
      </w:r>
      <w:r w:rsidRPr="00B07D79">
        <w:rPr>
          <w:rFonts w:asciiTheme="minorHAnsi" w:hAnsiTheme="minorHAnsi" w:cs="Arial"/>
          <w:vertAlign w:val="subscript"/>
        </w:rPr>
        <w:t>e</w:t>
      </w:r>
      <w:r w:rsidRPr="00B07D79">
        <w:rPr>
          <w:rFonts w:asciiTheme="minorHAnsi" w:hAnsiTheme="minorHAnsi" w:cs="Arial"/>
        </w:rPr>
        <w:t xml:space="preserve"> - </w:t>
      </w:r>
      <w:proofErr w:type="spellStart"/>
      <w:proofErr w:type="gramStart"/>
      <w:r w:rsidRPr="00B07D79">
        <w:rPr>
          <w:rFonts w:asciiTheme="minorHAnsi" w:hAnsiTheme="minorHAnsi" w:cs="Arial"/>
        </w:rPr>
        <w:t>N</w:t>
      </w:r>
      <w:r w:rsidRPr="00B07D79">
        <w:rPr>
          <w:rFonts w:asciiTheme="minorHAnsi" w:hAnsiTheme="minorHAnsi" w:cs="Arial"/>
          <w:vertAlign w:val="subscript"/>
        </w:rPr>
        <w:t>n</w:t>
      </w:r>
      <w:proofErr w:type="spellEnd"/>
      <w:r w:rsidRPr="00B07D79">
        <w:rPr>
          <w:rFonts w:asciiTheme="minorHAnsi" w:hAnsiTheme="minorHAnsi" w:cs="Arial"/>
        </w:rPr>
        <w:t xml:space="preserve"> )</w:t>
      </w:r>
      <w:proofErr w:type="gramEnd"/>
      <w:r w:rsidRPr="00B07D79">
        <w:rPr>
          <w:rFonts w:asciiTheme="minorHAnsi" w:hAnsiTheme="minorHAnsi" w:cs="Arial"/>
        </w:rPr>
        <w:t xml:space="preserve"> / </w:t>
      </w:r>
      <w:r w:rsidRPr="00B07D79">
        <w:rPr>
          <w:rFonts w:asciiTheme="minorHAnsi" w:hAnsiTheme="minorHAnsi" w:cs="Arial"/>
          <w:sz w:val="24"/>
        </w:rPr>
        <w:t>(</w:t>
      </w:r>
      <w:proofErr w:type="spellStart"/>
      <w:r w:rsidRPr="00B07D79">
        <w:rPr>
          <w:rFonts w:asciiTheme="minorHAnsi" w:hAnsiTheme="minorHAnsi" w:cs="Arial"/>
        </w:rPr>
        <w:t>p</w:t>
      </w:r>
      <w:r w:rsidRPr="00B07D79">
        <w:rPr>
          <w:rFonts w:asciiTheme="minorHAnsi" w:hAnsiTheme="minorHAnsi" w:cs="Arial"/>
          <w:vertAlign w:val="subscript"/>
        </w:rPr>
        <w:t>n</w:t>
      </w:r>
      <w:proofErr w:type="spellEnd"/>
      <w:r w:rsidRPr="00B07D79">
        <w:rPr>
          <w:rFonts w:asciiTheme="minorHAnsi" w:hAnsiTheme="minorHAnsi" w:cs="Arial"/>
        </w:rPr>
        <w:t xml:space="preserve"> - </w:t>
      </w:r>
      <w:proofErr w:type="spellStart"/>
      <w:r w:rsidRPr="00B07D79">
        <w:rPr>
          <w:rFonts w:asciiTheme="minorHAnsi" w:hAnsiTheme="minorHAnsi" w:cs="Arial"/>
        </w:rPr>
        <w:t>p</w:t>
      </w:r>
      <w:r w:rsidRPr="00B07D79">
        <w:rPr>
          <w:rFonts w:asciiTheme="minorHAnsi" w:hAnsiTheme="minorHAnsi" w:cs="Arial"/>
          <w:vertAlign w:val="subscript"/>
        </w:rPr>
        <w:t>e</w:t>
      </w:r>
      <w:proofErr w:type="spellEnd"/>
      <w:r w:rsidRPr="00B07D79">
        <w:rPr>
          <w:rFonts w:asciiTheme="minorHAnsi" w:hAnsiTheme="minorHAnsi" w:cs="Arial"/>
        </w:rPr>
        <w:t xml:space="preserve">) &lt; </w:t>
      </w:r>
      <w:proofErr w:type="spellStart"/>
      <w:r w:rsidRPr="00B07D79">
        <w:rPr>
          <w:rFonts w:asciiTheme="minorHAnsi" w:hAnsiTheme="minorHAnsi" w:cs="Arial"/>
        </w:rPr>
        <w:t>L</w:t>
      </w:r>
      <w:r w:rsidRPr="00B07D79">
        <w:rPr>
          <w:rFonts w:asciiTheme="minorHAnsi" w:hAnsiTheme="minorHAnsi" w:cs="Arial"/>
          <w:vertAlign w:val="subscript"/>
        </w:rPr>
        <w:t>ž</w:t>
      </w:r>
      <w:proofErr w:type="spellEnd"/>
    </w:p>
    <w:p w14:paraId="7D790714" w14:textId="2CA030E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Na grafech níže je znázorněno porovnání průběhů součtu investičních a</w:t>
      </w:r>
      <w:r w:rsidR="00CF2351" w:rsidRPr="00B07D79">
        <w:rPr>
          <w:rFonts w:asciiTheme="minorHAnsi" w:hAnsiTheme="minorHAnsi" w:cs="Arial"/>
        </w:rPr>
        <w:t> </w:t>
      </w:r>
      <w:r w:rsidRPr="00B07D79">
        <w:rPr>
          <w:rFonts w:asciiTheme="minorHAnsi" w:hAnsiTheme="minorHAnsi" w:cs="Arial"/>
        </w:rPr>
        <w:t>provozních nákladů elektrického a</w:t>
      </w:r>
      <w:r w:rsidR="00CF2351" w:rsidRPr="00B07D79">
        <w:rPr>
          <w:rFonts w:asciiTheme="minorHAnsi" w:hAnsiTheme="minorHAnsi" w:cs="Arial"/>
        </w:rPr>
        <w:t> </w:t>
      </w:r>
      <w:r w:rsidRPr="00B07D79">
        <w:rPr>
          <w:rFonts w:asciiTheme="minorHAnsi" w:hAnsiTheme="minorHAnsi" w:cs="Arial"/>
        </w:rPr>
        <w:t>naftového nákladního automobilu:</w:t>
      </w:r>
    </w:p>
    <w:p w14:paraId="271195C9"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současný stav:</w:t>
      </w:r>
    </w:p>
    <w:p w14:paraId="68ABFBE3"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elektrická energie je zatížena POZE,</w:t>
      </w:r>
    </w:p>
    <w:p w14:paraId="28EB1253"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elektrická energie je zatížena emisními povolenkami,</w:t>
      </w:r>
    </w:p>
    <w:p w14:paraId="5D2AD257"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není zatížena POZE,</w:t>
      </w:r>
    </w:p>
    <w:p w14:paraId="4ED44BCA"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není zatížena emisními povolenkami,</w:t>
      </w:r>
    </w:p>
    <w:p w14:paraId="416C6BB6"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má sníženou spotřební daň,</w:t>
      </w:r>
    </w:p>
    <w:p w14:paraId="36167DDE" w14:textId="77777777" w:rsidR="00377C8E" w:rsidRPr="00B07D79" w:rsidRDefault="00377C8E" w:rsidP="00B07D79">
      <w:pPr>
        <w:spacing w:line="276" w:lineRule="auto"/>
        <w:jc w:val="both"/>
        <w:rPr>
          <w:rFonts w:asciiTheme="minorHAnsi" w:hAnsiTheme="minorHAnsi" w:cs="Arial"/>
        </w:rPr>
      </w:pPr>
    </w:p>
    <w:p w14:paraId="04C234D1" w14:textId="77777777" w:rsidR="005E2F84" w:rsidRDefault="005E2F84" w:rsidP="00B07D79">
      <w:pPr>
        <w:spacing w:line="276" w:lineRule="auto"/>
        <w:jc w:val="both"/>
        <w:rPr>
          <w:rFonts w:asciiTheme="minorHAnsi" w:hAnsiTheme="minorHAnsi" w:cs="Arial"/>
          <w:color w:val="385623" w:themeColor="accent6" w:themeShade="80"/>
        </w:rPr>
      </w:pPr>
    </w:p>
    <w:p w14:paraId="6E042B93" w14:textId="77777777" w:rsidR="005E2F84" w:rsidRDefault="005E2F84" w:rsidP="00B07D79">
      <w:pPr>
        <w:spacing w:line="276" w:lineRule="auto"/>
        <w:jc w:val="both"/>
        <w:rPr>
          <w:rFonts w:asciiTheme="minorHAnsi" w:hAnsiTheme="minorHAnsi" w:cs="Arial"/>
          <w:color w:val="385623" w:themeColor="accent6" w:themeShade="80"/>
        </w:rPr>
      </w:pPr>
    </w:p>
    <w:p w14:paraId="33BB7C54" w14:textId="77777777" w:rsidR="005E2F84" w:rsidRDefault="005E2F84" w:rsidP="00B07D79">
      <w:pPr>
        <w:spacing w:line="276" w:lineRule="auto"/>
        <w:jc w:val="both"/>
        <w:rPr>
          <w:rFonts w:asciiTheme="minorHAnsi" w:hAnsiTheme="minorHAnsi" w:cs="Arial"/>
          <w:color w:val="385623" w:themeColor="accent6" w:themeShade="80"/>
        </w:rPr>
      </w:pPr>
    </w:p>
    <w:p w14:paraId="47BE14F6" w14:textId="77777777" w:rsidR="005E2F84" w:rsidRDefault="005E2F84" w:rsidP="00B07D79">
      <w:pPr>
        <w:spacing w:line="276" w:lineRule="auto"/>
        <w:jc w:val="both"/>
        <w:rPr>
          <w:rFonts w:asciiTheme="minorHAnsi" w:hAnsiTheme="minorHAnsi" w:cs="Arial"/>
          <w:color w:val="385623" w:themeColor="accent6" w:themeShade="80"/>
        </w:rPr>
      </w:pPr>
    </w:p>
    <w:p w14:paraId="738943D4" w14:textId="77777777" w:rsidR="005E2F84" w:rsidRDefault="005E2F84" w:rsidP="00B07D79">
      <w:pPr>
        <w:spacing w:line="276" w:lineRule="auto"/>
        <w:jc w:val="both"/>
        <w:rPr>
          <w:rFonts w:asciiTheme="minorHAnsi" w:hAnsiTheme="minorHAnsi" w:cs="Arial"/>
          <w:color w:val="385623" w:themeColor="accent6" w:themeShade="80"/>
        </w:rPr>
      </w:pPr>
    </w:p>
    <w:p w14:paraId="25AEB1E3" w14:textId="77777777" w:rsidR="005E2F84" w:rsidRDefault="005E2F84" w:rsidP="00B07D79">
      <w:pPr>
        <w:spacing w:line="276" w:lineRule="auto"/>
        <w:jc w:val="both"/>
        <w:rPr>
          <w:rFonts w:asciiTheme="minorHAnsi" w:hAnsiTheme="minorHAnsi" w:cs="Arial"/>
          <w:color w:val="385623" w:themeColor="accent6" w:themeShade="80"/>
        </w:rPr>
      </w:pPr>
    </w:p>
    <w:p w14:paraId="0DDDA187" w14:textId="77777777" w:rsidR="005E2F84" w:rsidRDefault="005E2F84" w:rsidP="00B07D79">
      <w:pPr>
        <w:spacing w:line="276" w:lineRule="auto"/>
        <w:jc w:val="both"/>
        <w:rPr>
          <w:rFonts w:asciiTheme="minorHAnsi" w:hAnsiTheme="minorHAnsi" w:cs="Arial"/>
          <w:color w:val="385623" w:themeColor="accent6" w:themeShade="80"/>
        </w:rPr>
      </w:pPr>
    </w:p>
    <w:p w14:paraId="2FEB62D1" w14:textId="39EB2B01" w:rsidR="00377C8E" w:rsidRPr="0074122A" w:rsidRDefault="00377C8E" w:rsidP="00B07D79">
      <w:pPr>
        <w:spacing w:line="276" w:lineRule="auto"/>
        <w:jc w:val="both"/>
        <w:rPr>
          <w:rFonts w:asciiTheme="minorHAnsi" w:hAnsiTheme="minorHAnsi" w:cs="Arial"/>
          <w:color w:val="385623" w:themeColor="accent6" w:themeShade="80"/>
        </w:rPr>
      </w:pPr>
      <w:r w:rsidRPr="0074122A">
        <w:rPr>
          <w:rFonts w:asciiTheme="minorHAnsi" w:hAnsiTheme="minorHAnsi" w:cs="Arial"/>
          <w:color w:val="385623" w:themeColor="accent6" w:themeShade="80"/>
        </w:rPr>
        <w:lastRenderedPageBreak/>
        <w:t>Obrázek 2 Náklady automobilové dopravy (současnost)</w:t>
      </w:r>
    </w:p>
    <w:p w14:paraId="776CEB19" w14:textId="50A0DFA9" w:rsidR="00543428" w:rsidRPr="00B07D79" w:rsidRDefault="00543428" w:rsidP="005E2F84">
      <w:pPr>
        <w:pStyle w:val="Odstavecseseznamem"/>
        <w:spacing w:line="276" w:lineRule="auto"/>
        <w:jc w:val="both"/>
        <w:rPr>
          <w:rFonts w:asciiTheme="minorHAnsi" w:hAnsiTheme="minorHAnsi" w:cs="Arial"/>
        </w:rPr>
      </w:pPr>
      <w:r w:rsidRPr="00B07D79">
        <w:rPr>
          <w:rFonts w:asciiTheme="minorHAnsi" w:hAnsiTheme="minorHAnsi" w:cs="Arial"/>
          <w:noProof/>
        </w:rPr>
        <w:drawing>
          <wp:inline distT="0" distB="0" distL="0" distR="0" wp14:anchorId="352BD755" wp14:editId="67DE2E61">
            <wp:extent cx="4769511" cy="408214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3310" cy="4085391"/>
                    </a:xfrm>
                    <a:prstGeom prst="rect">
                      <a:avLst/>
                    </a:prstGeom>
                  </pic:spPr>
                </pic:pic>
              </a:graphicData>
            </a:graphic>
          </wp:inline>
        </w:drawing>
      </w:r>
    </w:p>
    <w:p w14:paraId="39D064BC" w14:textId="7D00E3CB" w:rsidR="00377C8E" w:rsidRPr="005E2F84" w:rsidRDefault="00377C8E" w:rsidP="00B07D79">
      <w:pPr>
        <w:spacing w:line="276" w:lineRule="auto"/>
        <w:jc w:val="both"/>
        <w:rPr>
          <w:rFonts w:asciiTheme="minorHAnsi" w:hAnsiTheme="minorHAnsi" w:cs="Arial"/>
          <w:i/>
          <w:iCs/>
          <w:color w:val="385623" w:themeColor="accent6" w:themeShade="80"/>
        </w:rPr>
      </w:pPr>
      <w:r w:rsidRPr="005E2F84">
        <w:rPr>
          <w:rFonts w:asciiTheme="minorHAnsi" w:hAnsiTheme="minorHAnsi" w:cs="Arial"/>
          <w:i/>
          <w:iCs/>
          <w:color w:val="385623" w:themeColor="accent6" w:themeShade="80"/>
        </w:rPr>
        <w:t>Poznámka:</w:t>
      </w:r>
      <w:r w:rsidR="00543428" w:rsidRPr="005E2F84">
        <w:rPr>
          <w:rFonts w:asciiTheme="minorHAnsi" w:hAnsiTheme="minorHAnsi" w:cs="Arial"/>
          <w:i/>
          <w:iCs/>
          <w:color w:val="385623" w:themeColor="accent6" w:themeShade="80"/>
        </w:rPr>
        <w:t xml:space="preserve"> Náklady na pořízení vozidla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energie pro provoz nákladního automobilu pro svoz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rozvoz kombinované přepravy v</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okolí multimodálního terminálu železnice /silnice při současné cenové regulaci cen elektrické energie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 xml:space="preserve">nafty, která je diskriminační vůči bezemisní dopravě. </w:t>
      </w:r>
    </w:p>
    <w:p w14:paraId="6D8AFF49" w14:textId="44AFC881"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Logický budoucí stav</w:t>
      </w:r>
      <w:r w:rsidR="00377C8E" w:rsidRPr="00B07D79">
        <w:rPr>
          <w:rFonts w:asciiTheme="minorHAnsi" w:hAnsiTheme="minorHAnsi" w:cs="Arial"/>
        </w:rPr>
        <w:t>:</w:t>
      </w:r>
      <w:r w:rsidRPr="00B07D79">
        <w:rPr>
          <w:rStyle w:val="Znakapoznpodarou"/>
          <w:rFonts w:asciiTheme="minorHAnsi" w:hAnsiTheme="minorHAnsi" w:cs="Arial"/>
        </w:rPr>
        <w:footnoteReference w:id="17"/>
      </w:r>
    </w:p>
    <w:p w14:paraId="08707887"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elektrická energie není zatížena POZE,</w:t>
      </w:r>
    </w:p>
    <w:p w14:paraId="5DCC80D3"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elektrická energie není zatížena emisními povolenkami,</w:t>
      </w:r>
    </w:p>
    <w:p w14:paraId="0976F7D2"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je zatížena POZE,</w:t>
      </w:r>
    </w:p>
    <w:p w14:paraId="340DEC9C"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je zatížena emisními povolenkami,</w:t>
      </w:r>
    </w:p>
    <w:p w14:paraId="153AF4CA" w14:textId="77777777" w:rsidR="00543428" w:rsidRPr="00B07D79" w:rsidRDefault="00543428" w:rsidP="00B07D79">
      <w:pPr>
        <w:pStyle w:val="Odstavecseseznamem"/>
        <w:numPr>
          <w:ilvl w:val="1"/>
          <w:numId w:val="146"/>
        </w:numPr>
        <w:spacing w:line="276" w:lineRule="auto"/>
        <w:jc w:val="both"/>
        <w:rPr>
          <w:rFonts w:asciiTheme="minorHAnsi" w:hAnsiTheme="minorHAnsi" w:cs="Arial"/>
        </w:rPr>
      </w:pPr>
      <w:r w:rsidRPr="00B07D79">
        <w:rPr>
          <w:rFonts w:asciiTheme="minorHAnsi" w:hAnsiTheme="minorHAnsi" w:cs="Arial"/>
        </w:rPr>
        <w:t>motorová nafta nemá sníženou spotřební daň.</w:t>
      </w:r>
    </w:p>
    <w:p w14:paraId="333E0F51" w14:textId="77777777" w:rsidR="00377C8E" w:rsidRPr="00B07D79" w:rsidRDefault="00377C8E" w:rsidP="00B07D79">
      <w:pPr>
        <w:spacing w:line="276" w:lineRule="auto"/>
        <w:jc w:val="both"/>
        <w:rPr>
          <w:rFonts w:asciiTheme="minorHAnsi" w:hAnsiTheme="minorHAnsi" w:cs="Arial"/>
        </w:rPr>
      </w:pPr>
    </w:p>
    <w:p w14:paraId="3BFCF7C9" w14:textId="77777777" w:rsidR="005E2F84" w:rsidRDefault="005E2F84" w:rsidP="00B07D79">
      <w:pPr>
        <w:spacing w:line="276" w:lineRule="auto"/>
        <w:jc w:val="both"/>
        <w:rPr>
          <w:rFonts w:asciiTheme="minorHAnsi" w:hAnsiTheme="minorHAnsi" w:cs="Arial"/>
        </w:rPr>
      </w:pPr>
    </w:p>
    <w:p w14:paraId="00730683" w14:textId="77777777" w:rsidR="005E2F84" w:rsidRDefault="005E2F84" w:rsidP="00B07D79">
      <w:pPr>
        <w:spacing w:line="276" w:lineRule="auto"/>
        <w:jc w:val="both"/>
        <w:rPr>
          <w:rFonts w:asciiTheme="minorHAnsi" w:hAnsiTheme="minorHAnsi" w:cs="Arial"/>
        </w:rPr>
      </w:pPr>
    </w:p>
    <w:p w14:paraId="7FEB0EB6" w14:textId="77777777" w:rsidR="005E2F84" w:rsidRDefault="005E2F84" w:rsidP="00B07D79">
      <w:pPr>
        <w:spacing w:line="276" w:lineRule="auto"/>
        <w:jc w:val="both"/>
        <w:rPr>
          <w:rFonts w:asciiTheme="minorHAnsi" w:hAnsiTheme="minorHAnsi" w:cs="Arial"/>
        </w:rPr>
      </w:pPr>
    </w:p>
    <w:p w14:paraId="5CB236BE" w14:textId="77777777" w:rsidR="005E2F84" w:rsidRDefault="005E2F84" w:rsidP="00B07D79">
      <w:pPr>
        <w:spacing w:line="276" w:lineRule="auto"/>
        <w:jc w:val="both"/>
        <w:rPr>
          <w:rFonts w:asciiTheme="minorHAnsi" w:hAnsiTheme="minorHAnsi" w:cs="Arial"/>
        </w:rPr>
      </w:pPr>
    </w:p>
    <w:p w14:paraId="3EB42521" w14:textId="77777777" w:rsidR="005E2F84" w:rsidRDefault="005E2F84" w:rsidP="00B07D79">
      <w:pPr>
        <w:spacing w:line="276" w:lineRule="auto"/>
        <w:jc w:val="both"/>
        <w:rPr>
          <w:rFonts w:asciiTheme="minorHAnsi" w:hAnsiTheme="minorHAnsi" w:cs="Arial"/>
        </w:rPr>
      </w:pPr>
    </w:p>
    <w:p w14:paraId="6C2B0FCE" w14:textId="77777777" w:rsidR="005E2F84" w:rsidRDefault="005E2F84" w:rsidP="00B07D79">
      <w:pPr>
        <w:spacing w:line="276" w:lineRule="auto"/>
        <w:jc w:val="both"/>
        <w:rPr>
          <w:rFonts w:asciiTheme="minorHAnsi" w:hAnsiTheme="minorHAnsi" w:cs="Arial"/>
        </w:rPr>
      </w:pPr>
    </w:p>
    <w:p w14:paraId="7322C887" w14:textId="200147C5" w:rsidR="00377C8E" w:rsidRPr="005E2F84" w:rsidRDefault="00377C8E" w:rsidP="00B07D79">
      <w:pPr>
        <w:spacing w:line="276" w:lineRule="auto"/>
        <w:jc w:val="both"/>
        <w:rPr>
          <w:rFonts w:asciiTheme="minorHAnsi" w:hAnsiTheme="minorHAnsi" w:cs="Arial"/>
          <w:color w:val="385623" w:themeColor="accent6" w:themeShade="80"/>
        </w:rPr>
      </w:pPr>
      <w:r w:rsidRPr="005E2F84">
        <w:rPr>
          <w:rFonts w:asciiTheme="minorHAnsi" w:hAnsiTheme="minorHAnsi" w:cs="Arial"/>
          <w:color w:val="385623" w:themeColor="accent6" w:themeShade="80"/>
        </w:rPr>
        <w:lastRenderedPageBreak/>
        <w:t>Obrázek 3 Náklady automobilové dopravy (logický stav)</w:t>
      </w:r>
    </w:p>
    <w:p w14:paraId="11CDB43D" w14:textId="34F79D2C"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noProof/>
        </w:rPr>
        <w:drawing>
          <wp:inline distT="0" distB="0" distL="0" distR="0" wp14:anchorId="6DF09BD6" wp14:editId="38EF14BE">
            <wp:extent cx="4835347" cy="4160981"/>
            <wp:effectExtent l="0" t="0" r="381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0380" cy="4165312"/>
                    </a:xfrm>
                    <a:prstGeom prst="rect">
                      <a:avLst/>
                    </a:prstGeom>
                    <a:noFill/>
                    <a:ln>
                      <a:noFill/>
                    </a:ln>
                  </pic:spPr>
                </pic:pic>
              </a:graphicData>
            </a:graphic>
          </wp:inline>
        </w:drawing>
      </w:r>
    </w:p>
    <w:p w14:paraId="5963F312" w14:textId="4B0A375D" w:rsidR="00377C8E" w:rsidRPr="005E2F84" w:rsidRDefault="00377C8E" w:rsidP="00B07D79">
      <w:pPr>
        <w:spacing w:line="276" w:lineRule="auto"/>
        <w:jc w:val="both"/>
        <w:rPr>
          <w:rFonts w:asciiTheme="minorHAnsi" w:hAnsiTheme="minorHAnsi" w:cs="Arial"/>
          <w:i/>
          <w:iCs/>
          <w:color w:val="385623" w:themeColor="accent6" w:themeShade="80"/>
        </w:rPr>
      </w:pPr>
      <w:r w:rsidRPr="005E2F84">
        <w:rPr>
          <w:rFonts w:asciiTheme="minorHAnsi" w:hAnsiTheme="minorHAnsi" w:cs="Arial"/>
          <w:i/>
          <w:iCs/>
          <w:color w:val="385623" w:themeColor="accent6" w:themeShade="80"/>
        </w:rPr>
        <w:t>Poznámka:</w:t>
      </w:r>
      <w:r w:rsidR="00543428" w:rsidRPr="005E2F84">
        <w:rPr>
          <w:rFonts w:asciiTheme="minorHAnsi" w:hAnsiTheme="minorHAnsi" w:cs="Arial"/>
          <w:i/>
          <w:iCs/>
          <w:color w:val="385623" w:themeColor="accent6" w:themeShade="80"/>
        </w:rPr>
        <w:t xml:space="preserve"> Náklady na pořízení vozidla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energie pro provoz nákladního automobilu pro svoz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rozvoz kombinované přepravy v</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okolí multimodálního terminálu železnice /silnice v</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případě změněné cenové regulaci cen elektrické energie a</w:t>
      </w:r>
      <w:r w:rsidR="00CF2351" w:rsidRPr="005E2F84">
        <w:rPr>
          <w:rFonts w:asciiTheme="minorHAnsi" w:hAnsiTheme="minorHAnsi" w:cs="Arial"/>
          <w:i/>
          <w:iCs/>
          <w:color w:val="385623" w:themeColor="accent6" w:themeShade="80"/>
        </w:rPr>
        <w:t> </w:t>
      </w:r>
      <w:r w:rsidR="00543428" w:rsidRPr="005E2F84">
        <w:rPr>
          <w:rFonts w:asciiTheme="minorHAnsi" w:hAnsiTheme="minorHAnsi" w:cs="Arial"/>
          <w:i/>
          <w:iCs/>
          <w:color w:val="385623" w:themeColor="accent6" w:themeShade="80"/>
        </w:rPr>
        <w:t xml:space="preserve">nafty, nastavené vstřícně vůči bezemisní dopravě. </w:t>
      </w:r>
    </w:p>
    <w:p w14:paraId="7012EB28" w14:textId="0F63ECD0" w:rsidR="00543428" w:rsidRPr="00B07D79" w:rsidRDefault="00543428" w:rsidP="00B07D79">
      <w:pPr>
        <w:spacing w:line="276" w:lineRule="auto"/>
        <w:jc w:val="both"/>
        <w:rPr>
          <w:rFonts w:asciiTheme="minorHAnsi" w:hAnsiTheme="minorHAnsi"/>
        </w:rPr>
      </w:pPr>
      <w:r w:rsidRPr="00B07D79">
        <w:rPr>
          <w:rFonts w:asciiTheme="minorHAnsi" w:hAnsiTheme="minorHAnsi" w:cs="Arial"/>
        </w:rPr>
        <w:t>Dokud bude regulace spotřebitelských cen energií působit tak, že znevýhodňuje elektrickou vozbu vůči naftové, budou investice do bezemisní dopravy včetně jejich podpory z</w:t>
      </w:r>
      <w:r w:rsidR="00CF2351" w:rsidRPr="00B07D79">
        <w:rPr>
          <w:rFonts w:asciiTheme="minorHAnsi" w:hAnsiTheme="minorHAnsi" w:cs="Arial"/>
        </w:rPr>
        <w:t> </w:t>
      </w:r>
      <w:r w:rsidRPr="00B07D79">
        <w:rPr>
          <w:rFonts w:asciiTheme="minorHAnsi" w:hAnsiTheme="minorHAnsi" w:cs="Arial"/>
        </w:rPr>
        <w:t>veřejných zdrojů v</w:t>
      </w:r>
      <w:r w:rsidR="00CF2351" w:rsidRPr="00B07D79">
        <w:rPr>
          <w:rFonts w:asciiTheme="minorHAnsi" w:hAnsiTheme="minorHAnsi" w:cs="Arial"/>
        </w:rPr>
        <w:t> </w:t>
      </w:r>
      <w:r w:rsidRPr="00B07D79">
        <w:rPr>
          <w:rFonts w:asciiTheme="minorHAnsi" w:hAnsiTheme="minorHAnsi" w:cs="Arial"/>
        </w:rPr>
        <w:t>nevýhodě. Současné jen 2 % využití instalovaného výkonu veřejných nabíjecích stanic ČEZ pro automobily v</w:t>
      </w:r>
      <w:r w:rsidR="00CF2351" w:rsidRPr="00B07D79">
        <w:rPr>
          <w:rFonts w:asciiTheme="minorHAnsi" w:hAnsiTheme="minorHAnsi" w:cs="Arial"/>
        </w:rPr>
        <w:t> </w:t>
      </w:r>
      <w:r w:rsidRPr="00B07D79">
        <w:rPr>
          <w:rFonts w:asciiTheme="minorHAnsi" w:hAnsiTheme="minorHAnsi" w:cs="Arial"/>
        </w:rPr>
        <w:t>ČR dokládá, že snaha a</w:t>
      </w:r>
      <w:r w:rsidR="00CF2351" w:rsidRPr="00B07D79">
        <w:rPr>
          <w:rFonts w:asciiTheme="minorHAnsi" w:hAnsiTheme="minorHAnsi" w:cs="Arial"/>
        </w:rPr>
        <w:t> </w:t>
      </w:r>
      <w:r w:rsidRPr="00B07D79">
        <w:rPr>
          <w:rFonts w:asciiTheme="minorHAnsi" w:hAnsiTheme="minorHAnsi" w:cs="Arial"/>
        </w:rPr>
        <w:t xml:space="preserve">podpora budování infrastrukturního energetického zázemí pro bezemisní vozidla nepřináší potřebná efekt, pokud je negována nevhodným působením regulace cen energií. Ekonomika je pro uživatele vozidel rozhodující.  </w:t>
      </w:r>
    </w:p>
    <w:p w14:paraId="20D45D70" w14:textId="77777777" w:rsidR="00543428" w:rsidRPr="009D0E24" w:rsidRDefault="00543428" w:rsidP="000E5B59">
      <w:pPr>
        <w:pStyle w:val="Nadpis2"/>
        <w:rPr>
          <w:sz w:val="32"/>
          <w:szCs w:val="36"/>
        </w:rPr>
      </w:pPr>
      <w:bookmarkStart w:id="218" w:name="_Toc173240069"/>
      <w:r w:rsidRPr="009D0E24">
        <w:rPr>
          <w:sz w:val="32"/>
          <w:szCs w:val="36"/>
        </w:rPr>
        <w:t>Technologické možnosti bezemisní mobility</w:t>
      </w:r>
      <w:bookmarkEnd w:id="218"/>
    </w:p>
    <w:p w14:paraId="0E114790" w14:textId="6AF92FC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Cílem je zajištění technologické neutrality bezemisní mobility a</w:t>
      </w:r>
      <w:r w:rsidR="00CF2351" w:rsidRPr="00B07D79">
        <w:rPr>
          <w:rFonts w:asciiTheme="minorHAnsi" w:hAnsiTheme="minorHAnsi" w:cs="Arial"/>
        </w:rPr>
        <w:t> </w:t>
      </w:r>
      <w:r w:rsidRPr="00B07D79">
        <w:rPr>
          <w:rFonts w:asciiTheme="minorHAnsi" w:hAnsiTheme="minorHAnsi" w:cs="Arial"/>
        </w:rPr>
        <w:t>využívání energeticky efektivní druhy dopravy.</w:t>
      </w:r>
    </w:p>
    <w:p w14:paraId="47F329CB" w14:textId="79DADA88"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Na základě fyzikální reality je možné definovat dva základní kroky k</w:t>
      </w:r>
      <w:r w:rsidR="00CF2351" w:rsidRPr="00B07D79">
        <w:rPr>
          <w:rFonts w:asciiTheme="minorHAnsi" w:hAnsiTheme="minorHAnsi" w:cs="Arial"/>
        </w:rPr>
        <w:t> </w:t>
      </w:r>
      <w:r w:rsidRPr="00B07D79">
        <w:rPr>
          <w:rFonts w:asciiTheme="minorHAnsi" w:hAnsiTheme="minorHAnsi" w:cs="Arial"/>
        </w:rPr>
        <w:t>dekarbonizaci dopravy v</w:t>
      </w:r>
      <w:r w:rsidR="00CF2351" w:rsidRPr="00B07D79">
        <w:rPr>
          <w:rFonts w:asciiTheme="minorHAnsi" w:hAnsiTheme="minorHAnsi" w:cs="Arial"/>
        </w:rPr>
        <w:t> </w:t>
      </w:r>
      <w:r w:rsidRPr="00B07D79">
        <w:rPr>
          <w:rFonts w:asciiTheme="minorHAnsi" w:hAnsiTheme="minorHAnsi" w:cs="Arial"/>
        </w:rPr>
        <w:t>ČR:</w:t>
      </w:r>
    </w:p>
    <w:p w14:paraId="5697195A"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náhrada uhlovodíkových paliv elektrickou energií,</w:t>
      </w:r>
    </w:p>
    <w:p w14:paraId="7DB46BE8"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 xml:space="preserve">důsledná orientace na zvyšování energetické účinnosti dopravních systémů – minimalizace měrné spotřeby energie na jednotku vykonané přepravní práce (kWh/os km, kWh/netto tkm).  </w:t>
      </w:r>
    </w:p>
    <w:p w14:paraId="0D9C97CC" w14:textId="6E92D75A"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lastRenderedPageBreak/>
        <w:t>Udržitelná mobilita se vyznačuje dvěma shodnými základními rysy, a</w:t>
      </w:r>
      <w:r w:rsidR="00CF2351" w:rsidRPr="00B07D79">
        <w:rPr>
          <w:rFonts w:asciiTheme="minorHAnsi" w:hAnsiTheme="minorHAnsi" w:cs="Arial"/>
        </w:rPr>
        <w:t> </w:t>
      </w:r>
      <w:r w:rsidRPr="00B07D79">
        <w:rPr>
          <w:rFonts w:asciiTheme="minorHAnsi" w:hAnsiTheme="minorHAnsi" w:cs="Arial"/>
        </w:rPr>
        <w:t>to obnovitelným zdrojem elektrické energie na začátku řetězce energetických přeměn a</w:t>
      </w:r>
      <w:r w:rsidR="00CF2351" w:rsidRPr="00B07D79">
        <w:rPr>
          <w:rFonts w:asciiTheme="minorHAnsi" w:hAnsiTheme="minorHAnsi" w:cs="Arial"/>
        </w:rPr>
        <w:t> </w:t>
      </w:r>
      <w:r w:rsidRPr="00B07D79">
        <w:rPr>
          <w:rFonts w:asciiTheme="minorHAnsi" w:hAnsiTheme="minorHAnsi" w:cs="Arial"/>
        </w:rPr>
        <w:t>elektrickým trakčním motorem zajišťujícím pohon dopravního prostředku na konci řetězce energetických přeměn.</w:t>
      </w:r>
    </w:p>
    <w:p w14:paraId="4B7831F8" w14:textId="024266A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Energetické propojení stacionárního zdroje elektrické energie s</w:t>
      </w:r>
      <w:r w:rsidR="00CF2351" w:rsidRPr="00B07D79">
        <w:rPr>
          <w:rFonts w:asciiTheme="minorHAnsi" w:hAnsiTheme="minorHAnsi" w:cs="Arial"/>
        </w:rPr>
        <w:t> </w:t>
      </w:r>
      <w:r w:rsidRPr="00B07D79">
        <w:rPr>
          <w:rFonts w:asciiTheme="minorHAnsi" w:hAnsiTheme="minorHAnsi" w:cs="Arial"/>
        </w:rPr>
        <w:t>elektrickým trakčním motorem může být řešeno třemi technickými způsoby:</w:t>
      </w:r>
    </w:p>
    <w:p w14:paraId="5D21CE29" w14:textId="77777777"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kontaktně, tedy liniovým elektrickým trakčním vedením,</w:t>
      </w:r>
    </w:p>
    <w:p w14:paraId="74EED747" w14:textId="75C7B124"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prostřednictvím ukládáním elektrické energie do mobilního zásobníku v</w:t>
      </w:r>
      <w:r w:rsidR="00CF2351" w:rsidRPr="00B07D79">
        <w:rPr>
          <w:rFonts w:asciiTheme="minorHAnsi" w:hAnsiTheme="minorHAnsi" w:cs="Arial"/>
        </w:rPr>
        <w:t> </w:t>
      </w:r>
      <w:r w:rsidRPr="00B07D79">
        <w:rPr>
          <w:rFonts w:asciiTheme="minorHAnsi" w:hAnsiTheme="minorHAnsi" w:cs="Arial"/>
        </w:rPr>
        <w:t>podobě elektrochemického sekundárního článku (zpravidla lithiového),</w:t>
      </w:r>
    </w:p>
    <w:p w14:paraId="09C5BD93" w14:textId="345D453D" w:rsidR="00543428" w:rsidRPr="00B07D79" w:rsidRDefault="00543428" w:rsidP="00B07D79">
      <w:pPr>
        <w:pStyle w:val="Odstavecseseznamem"/>
        <w:numPr>
          <w:ilvl w:val="0"/>
          <w:numId w:val="146"/>
        </w:numPr>
        <w:spacing w:line="276" w:lineRule="auto"/>
        <w:jc w:val="both"/>
        <w:rPr>
          <w:rFonts w:asciiTheme="minorHAnsi" w:hAnsiTheme="minorHAnsi" w:cs="Arial"/>
        </w:rPr>
      </w:pPr>
      <w:r w:rsidRPr="00B07D79">
        <w:rPr>
          <w:rFonts w:asciiTheme="minorHAnsi" w:hAnsiTheme="minorHAnsi" w:cs="Arial"/>
        </w:rPr>
        <w:t>prostřednictvím ukládání elektrické energie elektrolýzou do vodíku, uloženého ve stačeném stavu v</w:t>
      </w:r>
      <w:r w:rsidR="00CF2351" w:rsidRPr="00B07D79">
        <w:rPr>
          <w:rFonts w:asciiTheme="minorHAnsi" w:hAnsiTheme="minorHAnsi" w:cs="Arial"/>
        </w:rPr>
        <w:t> </w:t>
      </w:r>
      <w:r w:rsidRPr="00B07D79">
        <w:rPr>
          <w:rFonts w:asciiTheme="minorHAnsi" w:hAnsiTheme="minorHAnsi" w:cs="Arial"/>
        </w:rPr>
        <w:t>mobilního zásobníku, a</w:t>
      </w:r>
      <w:r w:rsidR="00CF2351" w:rsidRPr="00B07D79">
        <w:rPr>
          <w:rFonts w:asciiTheme="minorHAnsi" w:hAnsiTheme="minorHAnsi" w:cs="Arial"/>
        </w:rPr>
        <w:t> </w:t>
      </w:r>
      <w:r w:rsidRPr="00B07D79">
        <w:rPr>
          <w:rFonts w:asciiTheme="minorHAnsi" w:hAnsiTheme="minorHAnsi" w:cs="Arial"/>
        </w:rPr>
        <w:t>následně v</w:t>
      </w:r>
      <w:r w:rsidR="00CF2351" w:rsidRPr="00B07D79">
        <w:rPr>
          <w:rFonts w:asciiTheme="minorHAnsi" w:hAnsiTheme="minorHAnsi" w:cs="Arial"/>
        </w:rPr>
        <w:t> </w:t>
      </w:r>
      <w:r w:rsidRPr="00B07D79">
        <w:rPr>
          <w:rFonts w:asciiTheme="minorHAnsi" w:hAnsiTheme="minorHAnsi" w:cs="Arial"/>
        </w:rPr>
        <w:t>elektrochemickém primárním (palivovém) článku přeměněném zpět na elektrickou energii.</w:t>
      </w:r>
    </w:p>
    <w:p w14:paraId="020670C5" w14:textId="77777777" w:rsidR="00543428" w:rsidRPr="009D0E24" w:rsidRDefault="00543428" w:rsidP="000E5B59">
      <w:pPr>
        <w:pStyle w:val="Nadpis2"/>
        <w:rPr>
          <w:rFonts w:cstheme="majorBidi"/>
          <w:sz w:val="32"/>
          <w:szCs w:val="36"/>
        </w:rPr>
      </w:pPr>
      <w:bookmarkStart w:id="219" w:name="_Toc173240070"/>
      <w:r w:rsidRPr="009D0E24">
        <w:rPr>
          <w:sz w:val="32"/>
          <w:szCs w:val="36"/>
        </w:rPr>
        <w:t>Letecká doprava</w:t>
      </w:r>
      <w:bookmarkEnd w:id="219"/>
    </w:p>
    <w:p w14:paraId="4C20EA2A" w14:textId="5532386A"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 oblasti letectví je měrná energie nositele energie zásadním tématem. Profilují se dva trendy, kdy malá letadla s</w:t>
      </w:r>
      <w:r w:rsidR="00CF2351" w:rsidRPr="00B07D79">
        <w:rPr>
          <w:rFonts w:asciiTheme="minorHAnsi" w:hAnsiTheme="minorHAnsi" w:cs="Arial"/>
        </w:rPr>
        <w:t> </w:t>
      </w:r>
      <w:r w:rsidRPr="00B07D79">
        <w:rPr>
          <w:rFonts w:asciiTheme="minorHAnsi" w:hAnsiTheme="minorHAnsi" w:cs="Arial"/>
        </w:rPr>
        <w:t>krátkým doletem a</w:t>
      </w:r>
      <w:r w:rsidR="00CF2351" w:rsidRPr="00B07D79">
        <w:rPr>
          <w:rFonts w:asciiTheme="minorHAnsi" w:hAnsiTheme="minorHAnsi" w:cs="Arial"/>
        </w:rPr>
        <w:t> </w:t>
      </w:r>
      <w:r w:rsidRPr="00B07D79">
        <w:rPr>
          <w:rFonts w:asciiTheme="minorHAnsi" w:hAnsiTheme="minorHAnsi" w:cs="Arial"/>
        </w:rPr>
        <w:t>nízkou rychlostí (například drony) budou používat elektrochemické akumulátory. Druhým trendem je pro velká letadla s</w:t>
      </w:r>
      <w:r w:rsidR="00CF2351" w:rsidRPr="00B07D79">
        <w:rPr>
          <w:rFonts w:asciiTheme="minorHAnsi" w:hAnsiTheme="minorHAnsi" w:cs="Arial"/>
        </w:rPr>
        <w:t> </w:t>
      </w:r>
      <w:r w:rsidRPr="00B07D79">
        <w:rPr>
          <w:rFonts w:asciiTheme="minorHAnsi" w:hAnsiTheme="minorHAnsi" w:cs="Arial"/>
        </w:rPr>
        <w:t>dlouhým doletem a</w:t>
      </w:r>
      <w:r w:rsidR="00CF2351" w:rsidRPr="00B07D79">
        <w:rPr>
          <w:rFonts w:asciiTheme="minorHAnsi" w:hAnsiTheme="minorHAnsi" w:cs="Arial"/>
        </w:rPr>
        <w:t> </w:t>
      </w:r>
      <w:r w:rsidRPr="00B07D79">
        <w:rPr>
          <w:rFonts w:asciiTheme="minorHAnsi" w:hAnsiTheme="minorHAnsi" w:cs="Arial"/>
        </w:rPr>
        <w:t>vysokou rychlostí (dopravní letadla) používání biopaliv a</w:t>
      </w:r>
      <w:r w:rsidR="00CF2351" w:rsidRPr="00B07D79">
        <w:rPr>
          <w:rFonts w:asciiTheme="minorHAnsi" w:hAnsiTheme="minorHAnsi" w:cs="Arial"/>
        </w:rPr>
        <w:t> </w:t>
      </w:r>
      <w:r w:rsidRPr="00B07D79">
        <w:rPr>
          <w:rFonts w:asciiTheme="minorHAnsi" w:hAnsiTheme="minorHAnsi" w:cs="Arial"/>
        </w:rPr>
        <w:t>syntetických paliv.</w:t>
      </w:r>
    </w:p>
    <w:p w14:paraId="25C43ABB" w14:textId="77777777" w:rsidR="00543428" w:rsidRPr="009D0E24" w:rsidRDefault="00543428" w:rsidP="000E5B59">
      <w:pPr>
        <w:pStyle w:val="Nadpis2"/>
        <w:rPr>
          <w:rFonts w:cstheme="majorBidi"/>
          <w:sz w:val="32"/>
          <w:szCs w:val="36"/>
        </w:rPr>
      </w:pPr>
      <w:bookmarkStart w:id="220" w:name="_Toc173240071"/>
      <w:r w:rsidRPr="009D0E24">
        <w:rPr>
          <w:sz w:val="32"/>
          <w:szCs w:val="36"/>
        </w:rPr>
        <w:t>Vodní doprava</w:t>
      </w:r>
      <w:bookmarkEnd w:id="220"/>
    </w:p>
    <w:p w14:paraId="55DE8C27" w14:textId="5AC3B91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Podobně je tomu i</w:t>
      </w:r>
      <w:r w:rsidR="00CF2351" w:rsidRPr="00B07D79">
        <w:rPr>
          <w:rFonts w:asciiTheme="minorHAnsi" w:hAnsiTheme="minorHAnsi" w:cs="Arial"/>
        </w:rPr>
        <w:t> </w:t>
      </w:r>
      <w:r w:rsidRPr="00B07D79">
        <w:rPr>
          <w:rFonts w:asciiTheme="minorHAnsi" w:hAnsiTheme="minorHAnsi" w:cs="Arial"/>
        </w:rPr>
        <w:t>v oblasti vodní dopravy, kde však na rozdíl od letectví není je měrná energie nositele energie zásadním tématem. Akumulátorové lodě a</w:t>
      </w:r>
      <w:r w:rsidR="00CF2351" w:rsidRPr="00B07D79">
        <w:rPr>
          <w:rFonts w:asciiTheme="minorHAnsi" w:hAnsiTheme="minorHAnsi" w:cs="Arial"/>
        </w:rPr>
        <w:t> </w:t>
      </w:r>
      <w:r w:rsidRPr="00B07D79">
        <w:rPr>
          <w:rFonts w:asciiTheme="minorHAnsi" w:hAnsiTheme="minorHAnsi" w:cs="Arial"/>
        </w:rPr>
        <w:t>ponorky již fungovaly v</w:t>
      </w:r>
      <w:r w:rsidR="00CF2351" w:rsidRPr="00B07D79">
        <w:rPr>
          <w:rFonts w:asciiTheme="minorHAnsi" w:hAnsiTheme="minorHAnsi" w:cs="Arial"/>
        </w:rPr>
        <w:t> </w:t>
      </w:r>
      <w:r w:rsidRPr="00B07D79">
        <w:rPr>
          <w:rFonts w:asciiTheme="minorHAnsi" w:hAnsiTheme="minorHAnsi" w:cs="Arial"/>
        </w:rPr>
        <w:t>éře olověných akumulátorů. Stěžejním tématem je ekonomika, kdy jsou standardně používány elektrochemické akumulátory. U</w:t>
      </w:r>
      <w:r w:rsidR="00CF2351" w:rsidRPr="00B07D79">
        <w:rPr>
          <w:rFonts w:asciiTheme="minorHAnsi" w:hAnsiTheme="minorHAnsi" w:cs="Arial"/>
        </w:rPr>
        <w:t> </w:t>
      </w:r>
      <w:r w:rsidRPr="00B07D79">
        <w:rPr>
          <w:rFonts w:asciiTheme="minorHAnsi" w:hAnsiTheme="minorHAnsi" w:cs="Arial"/>
        </w:rPr>
        <w:t>speciálních aplikací ve vodní dopravě budou využívána biopaliva a</w:t>
      </w:r>
      <w:r w:rsidR="00CF2351" w:rsidRPr="00B07D79">
        <w:rPr>
          <w:rFonts w:asciiTheme="minorHAnsi" w:hAnsiTheme="minorHAnsi" w:cs="Arial"/>
        </w:rPr>
        <w:t> </w:t>
      </w:r>
      <w:r w:rsidRPr="00B07D79">
        <w:rPr>
          <w:rFonts w:asciiTheme="minorHAnsi" w:hAnsiTheme="minorHAnsi" w:cs="Arial"/>
        </w:rPr>
        <w:t>syntetická paliva.</w:t>
      </w:r>
    </w:p>
    <w:p w14:paraId="55B398CC" w14:textId="77777777" w:rsidR="00543428" w:rsidRPr="009D0E24" w:rsidRDefault="00543428" w:rsidP="000E5B59">
      <w:pPr>
        <w:pStyle w:val="Nadpis2"/>
        <w:rPr>
          <w:rFonts w:cstheme="majorBidi"/>
          <w:sz w:val="32"/>
          <w:szCs w:val="36"/>
        </w:rPr>
      </w:pPr>
      <w:bookmarkStart w:id="221" w:name="_Toc173240072"/>
      <w:r w:rsidRPr="009D0E24">
        <w:rPr>
          <w:sz w:val="32"/>
          <w:szCs w:val="36"/>
        </w:rPr>
        <w:t>Železnice</w:t>
      </w:r>
      <w:bookmarkEnd w:id="221"/>
    </w:p>
    <w:p w14:paraId="65F9A1C6" w14:textId="2A9E4C4E" w:rsidR="00543428" w:rsidRPr="00B07D79" w:rsidRDefault="00543428" w:rsidP="00B07D79">
      <w:pPr>
        <w:spacing w:before="160" w:line="276" w:lineRule="auto"/>
        <w:jc w:val="both"/>
        <w:rPr>
          <w:rFonts w:asciiTheme="minorHAnsi" w:hAnsiTheme="minorHAnsi" w:cs="Arial"/>
          <w:iCs/>
        </w:rPr>
      </w:pPr>
      <w:r w:rsidRPr="00B07D79">
        <w:rPr>
          <w:rFonts w:asciiTheme="minorHAnsi" w:hAnsiTheme="minorHAnsi" w:cs="Arial"/>
        </w:rPr>
        <w:t>Využití železniční dopravy jako alternativy k</w:t>
      </w:r>
      <w:r w:rsidR="00CF2351" w:rsidRPr="00B07D79">
        <w:rPr>
          <w:rFonts w:asciiTheme="minorHAnsi" w:hAnsiTheme="minorHAnsi" w:cs="Arial"/>
        </w:rPr>
        <w:t> </w:t>
      </w:r>
      <w:r w:rsidRPr="00B07D79">
        <w:rPr>
          <w:rFonts w:asciiTheme="minorHAnsi" w:hAnsiTheme="minorHAnsi" w:cs="Arial"/>
        </w:rPr>
        <w:t>přímé silniční dopravě je z</w:t>
      </w:r>
      <w:r w:rsidR="00CF2351" w:rsidRPr="00B07D79">
        <w:rPr>
          <w:rFonts w:asciiTheme="minorHAnsi" w:hAnsiTheme="minorHAnsi" w:cs="Arial"/>
        </w:rPr>
        <w:t> </w:t>
      </w:r>
      <w:r w:rsidRPr="00B07D79">
        <w:rPr>
          <w:rFonts w:asciiTheme="minorHAnsi" w:hAnsiTheme="minorHAnsi" w:cs="Arial"/>
        </w:rPr>
        <w:t>energetického hlediska naprosto zásadní. Kamion přepravený po elektrizované železnici spotřebuje pouze cca 12–17 % energie oproti jízdě po silnici s</w:t>
      </w:r>
      <w:r w:rsidR="00CF2351" w:rsidRPr="00B07D79">
        <w:rPr>
          <w:rFonts w:asciiTheme="minorHAnsi" w:hAnsiTheme="minorHAnsi" w:cs="Arial"/>
        </w:rPr>
        <w:t> </w:t>
      </w:r>
      <w:r w:rsidRPr="00B07D79">
        <w:rPr>
          <w:rFonts w:asciiTheme="minorHAnsi" w:hAnsiTheme="minorHAnsi" w:cs="Arial"/>
        </w:rPr>
        <w:t xml:space="preserve">použitím spalovacího motoru. Pro </w:t>
      </w:r>
      <w:proofErr w:type="spellStart"/>
      <w:r w:rsidRPr="00B07D79">
        <w:rPr>
          <w:rFonts w:asciiTheme="minorHAnsi" w:hAnsiTheme="minorHAnsi" w:cs="Arial"/>
        </w:rPr>
        <w:t>mitigační</w:t>
      </w:r>
      <w:proofErr w:type="spellEnd"/>
      <w:r w:rsidRPr="00B07D79">
        <w:rPr>
          <w:rFonts w:asciiTheme="minorHAnsi" w:hAnsiTheme="minorHAnsi" w:cs="Arial"/>
        </w:rPr>
        <w:t xml:space="preserve"> opatření, jakož pro snížení emisí znečišťujících látek, je to naprosto zásadní. Cílem není odebírat zakázky silničním dopravcům a</w:t>
      </w:r>
      <w:r w:rsidR="00CF2351" w:rsidRPr="00B07D79">
        <w:rPr>
          <w:rFonts w:asciiTheme="minorHAnsi" w:hAnsiTheme="minorHAnsi" w:cs="Arial"/>
        </w:rPr>
        <w:t> </w:t>
      </w:r>
      <w:r w:rsidRPr="00B07D79">
        <w:rPr>
          <w:rFonts w:asciiTheme="minorHAnsi" w:hAnsiTheme="minorHAnsi" w:cs="Arial"/>
        </w:rPr>
        <w:t>narušovat tím tržní prostředí v</w:t>
      </w:r>
      <w:r w:rsidR="00CF2351" w:rsidRPr="00B07D79">
        <w:rPr>
          <w:rFonts w:asciiTheme="minorHAnsi" w:hAnsiTheme="minorHAnsi" w:cs="Arial"/>
        </w:rPr>
        <w:t> </w:t>
      </w:r>
      <w:r w:rsidRPr="00B07D79">
        <w:rPr>
          <w:rFonts w:asciiTheme="minorHAnsi" w:hAnsiTheme="minorHAnsi" w:cs="Arial"/>
        </w:rPr>
        <w:t>nákladní dopravě, ale naopak pomoci silniční nákladní dopravě, která trpí chronickým nedostatkem řidičů. Cílem je proto poskytnout službu silničním dopravcům a</w:t>
      </w:r>
      <w:r w:rsidR="00CF2351" w:rsidRPr="00B07D79">
        <w:rPr>
          <w:rFonts w:asciiTheme="minorHAnsi" w:hAnsiTheme="minorHAnsi" w:cs="Arial"/>
        </w:rPr>
        <w:t> </w:t>
      </w:r>
      <w:r w:rsidRPr="00B07D79">
        <w:rPr>
          <w:rFonts w:asciiTheme="minorHAnsi" w:hAnsiTheme="minorHAnsi" w:cs="Arial"/>
        </w:rPr>
        <w:t>ostatním subjektům v</w:t>
      </w:r>
      <w:r w:rsidR="00CF2351" w:rsidRPr="00B07D79">
        <w:rPr>
          <w:rFonts w:asciiTheme="minorHAnsi" w:hAnsiTheme="minorHAnsi" w:cs="Arial"/>
        </w:rPr>
        <w:t> </w:t>
      </w:r>
      <w:r w:rsidRPr="00B07D79">
        <w:rPr>
          <w:rFonts w:asciiTheme="minorHAnsi" w:hAnsiTheme="minorHAnsi" w:cs="Arial"/>
        </w:rPr>
        <w:t>dopravě, a</w:t>
      </w:r>
      <w:r w:rsidR="00CF2351" w:rsidRPr="00B07D79">
        <w:rPr>
          <w:rFonts w:asciiTheme="minorHAnsi" w:hAnsiTheme="minorHAnsi" w:cs="Arial"/>
        </w:rPr>
        <w:t> </w:t>
      </w:r>
      <w:r w:rsidRPr="00B07D79">
        <w:rPr>
          <w:rFonts w:asciiTheme="minorHAnsi" w:hAnsiTheme="minorHAnsi" w:cs="Arial"/>
        </w:rPr>
        <w:t>zároveň snížit negativní vlivy nákladní dopravy na životní prostředí a</w:t>
      </w:r>
      <w:r w:rsidR="00CF2351" w:rsidRPr="00B07D79">
        <w:rPr>
          <w:rFonts w:asciiTheme="minorHAnsi" w:hAnsiTheme="minorHAnsi" w:cs="Arial"/>
        </w:rPr>
        <w:t> </w:t>
      </w:r>
      <w:r w:rsidRPr="00B07D79">
        <w:rPr>
          <w:rFonts w:asciiTheme="minorHAnsi" w:hAnsiTheme="minorHAnsi" w:cs="Arial"/>
        </w:rPr>
        <w:t>výrazným způsobem přispět k</w:t>
      </w:r>
      <w:r w:rsidR="00CF2351" w:rsidRPr="00B07D79">
        <w:rPr>
          <w:rFonts w:asciiTheme="minorHAnsi" w:hAnsiTheme="minorHAnsi" w:cs="Arial"/>
        </w:rPr>
        <w:t> </w:t>
      </w:r>
      <w:r w:rsidRPr="00B07D79">
        <w:rPr>
          <w:rFonts w:asciiTheme="minorHAnsi" w:hAnsiTheme="minorHAnsi" w:cs="Arial"/>
        </w:rPr>
        <w:t xml:space="preserve">energetickým úsporám. Opatření zaměřená na </w:t>
      </w:r>
      <w:proofErr w:type="spellStart"/>
      <w:r w:rsidRPr="00B07D79">
        <w:rPr>
          <w:rFonts w:asciiTheme="minorHAnsi" w:hAnsiTheme="minorHAnsi" w:cs="Arial"/>
        </w:rPr>
        <w:t>multimodalitu</w:t>
      </w:r>
      <w:proofErr w:type="spellEnd"/>
      <w:r w:rsidRPr="00B07D79">
        <w:rPr>
          <w:rFonts w:asciiTheme="minorHAnsi" w:hAnsiTheme="minorHAnsi" w:cs="Arial"/>
        </w:rPr>
        <w:t xml:space="preserve"> v</w:t>
      </w:r>
      <w:r w:rsidR="00CF2351" w:rsidRPr="00B07D79">
        <w:rPr>
          <w:rFonts w:asciiTheme="minorHAnsi" w:hAnsiTheme="minorHAnsi" w:cs="Arial"/>
        </w:rPr>
        <w:t> </w:t>
      </w:r>
      <w:r w:rsidRPr="00B07D79">
        <w:rPr>
          <w:rFonts w:asciiTheme="minorHAnsi" w:hAnsiTheme="minorHAnsi" w:cs="Arial"/>
        </w:rPr>
        <w:t>nákladní dopravě jsou uvedena v</w:t>
      </w:r>
      <w:r w:rsidR="00CF2351" w:rsidRPr="00B07D79">
        <w:rPr>
          <w:rFonts w:asciiTheme="minorHAnsi" w:hAnsiTheme="minorHAnsi" w:cs="Arial"/>
        </w:rPr>
        <w:t> </w:t>
      </w:r>
      <w:r w:rsidRPr="00B07D79">
        <w:rPr>
          <w:rFonts w:asciiTheme="minorHAnsi" w:hAnsiTheme="minorHAnsi" w:cs="Arial"/>
        </w:rPr>
        <w:t>Koncepci nákladní dopravy, která navazuje na Dopravní politiku Ministerstva dopravy. Je však nutné upozornit na skutečnost, že se na území ČR odehrává jen menší část dálkových přeprav v</w:t>
      </w:r>
      <w:r w:rsidR="00CF2351" w:rsidRPr="00B07D79">
        <w:rPr>
          <w:rFonts w:asciiTheme="minorHAnsi" w:hAnsiTheme="minorHAnsi" w:cs="Arial"/>
        </w:rPr>
        <w:t> </w:t>
      </w:r>
      <w:r w:rsidRPr="00B07D79">
        <w:rPr>
          <w:rFonts w:asciiTheme="minorHAnsi" w:hAnsiTheme="minorHAnsi" w:cs="Arial"/>
        </w:rPr>
        <w:t>multimodální nákladní dopravě, a</w:t>
      </w:r>
      <w:r w:rsidR="00CF2351" w:rsidRPr="00B07D79">
        <w:rPr>
          <w:rFonts w:asciiTheme="minorHAnsi" w:hAnsiTheme="minorHAnsi" w:cs="Arial"/>
        </w:rPr>
        <w:t> </w:t>
      </w:r>
      <w:r w:rsidRPr="00B07D79">
        <w:rPr>
          <w:rFonts w:asciiTheme="minorHAnsi" w:hAnsiTheme="minorHAnsi" w:cs="Arial"/>
        </w:rPr>
        <w:t>že konkurenceschopnost těchto služeb je dána spolehlivostí systému, a</w:t>
      </w:r>
      <w:r w:rsidR="00CF2351" w:rsidRPr="00B07D79">
        <w:rPr>
          <w:rFonts w:asciiTheme="minorHAnsi" w:hAnsiTheme="minorHAnsi" w:cs="Arial"/>
        </w:rPr>
        <w:t> </w:t>
      </w:r>
      <w:r w:rsidRPr="00B07D79">
        <w:rPr>
          <w:rFonts w:asciiTheme="minorHAnsi" w:hAnsiTheme="minorHAnsi" w:cs="Arial"/>
        </w:rPr>
        <w:t>to včetně zahraničních úseků cesty, které česká dopravní politika již nemůže ovlivnit. Rovněž evropský cíl ohledně převedení 30 % silniční nákladní dopravy nad 300 km na železniční a</w:t>
      </w:r>
      <w:r w:rsidR="00CF2351" w:rsidRPr="00B07D79">
        <w:rPr>
          <w:rFonts w:asciiTheme="minorHAnsi" w:hAnsiTheme="minorHAnsi" w:cs="Arial"/>
        </w:rPr>
        <w:t> </w:t>
      </w:r>
      <w:r w:rsidRPr="00B07D79">
        <w:rPr>
          <w:rFonts w:asciiTheme="minorHAnsi" w:hAnsiTheme="minorHAnsi" w:cs="Arial"/>
        </w:rPr>
        <w:t>vodní dopravu do roku 2030 je nutné ho chápat v</w:t>
      </w:r>
      <w:r w:rsidR="00CF2351" w:rsidRPr="00B07D79">
        <w:rPr>
          <w:rFonts w:asciiTheme="minorHAnsi" w:hAnsiTheme="minorHAnsi" w:cs="Arial"/>
        </w:rPr>
        <w:t> </w:t>
      </w:r>
      <w:r w:rsidRPr="00B07D79">
        <w:rPr>
          <w:rFonts w:asciiTheme="minorHAnsi" w:hAnsiTheme="minorHAnsi" w:cs="Arial"/>
        </w:rPr>
        <w:t>kontextu evropského cíle vztaženého na celý prostor EU, přičemž významnou roli zde hraje příbřežní námořní doprava. Strategie EU se postupně vyvíjí a</w:t>
      </w:r>
      <w:r w:rsidR="00CF2351" w:rsidRPr="00B07D79">
        <w:rPr>
          <w:rFonts w:asciiTheme="minorHAnsi" w:hAnsiTheme="minorHAnsi" w:cs="Arial"/>
        </w:rPr>
        <w:t> </w:t>
      </w:r>
      <w:r w:rsidRPr="00B07D79">
        <w:rPr>
          <w:rFonts w:asciiTheme="minorHAnsi" w:hAnsiTheme="minorHAnsi" w:cs="Arial"/>
        </w:rPr>
        <w:t xml:space="preserve">sledují </w:t>
      </w:r>
      <w:r w:rsidRPr="00B07D79">
        <w:rPr>
          <w:rFonts w:asciiTheme="minorHAnsi" w:hAnsiTheme="minorHAnsi" w:cs="Arial"/>
        </w:rPr>
        <w:lastRenderedPageBreak/>
        <w:t>se trendy přibližující se k</w:t>
      </w:r>
      <w:r w:rsidR="00CF2351" w:rsidRPr="00B07D79">
        <w:rPr>
          <w:rFonts w:asciiTheme="minorHAnsi" w:hAnsiTheme="minorHAnsi" w:cs="Arial"/>
        </w:rPr>
        <w:t> </w:t>
      </w:r>
      <w:r w:rsidRPr="00B07D79">
        <w:rPr>
          <w:rFonts w:asciiTheme="minorHAnsi" w:hAnsiTheme="minorHAnsi" w:cs="Arial"/>
        </w:rPr>
        <w:t xml:space="preserve">bezemisní dopravě, na což je zaměřeno také sdělení EK </w:t>
      </w:r>
      <w:r w:rsidRPr="00B07D79">
        <w:rPr>
          <w:rFonts w:asciiTheme="minorHAnsi" w:hAnsiTheme="minorHAnsi" w:cs="Arial"/>
          <w:i/>
        </w:rPr>
        <w:t xml:space="preserve">Zelená dohoda pro Evropu, </w:t>
      </w:r>
      <w:r w:rsidRPr="00B07D79">
        <w:rPr>
          <w:rFonts w:asciiTheme="minorHAnsi" w:hAnsiTheme="minorHAnsi" w:cs="Arial"/>
          <w:iCs/>
        </w:rPr>
        <w:t>které stanoví cíl převést do roku 2050 ze silnice na železnicí 78 % nákladní přepravy.</w:t>
      </w:r>
    </w:p>
    <w:p w14:paraId="34C016B3" w14:textId="0F32ADA1"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Díky nízkému valivému odporu ocelových kol po ocelových kolejnicích, nízkému aerodynamickému odporu dlouhých štíhlých vozidel schopných tvořit vlak a</w:t>
      </w:r>
      <w:r w:rsidR="00CF2351" w:rsidRPr="00B07D79">
        <w:rPr>
          <w:rFonts w:asciiTheme="minorHAnsi" w:hAnsiTheme="minorHAnsi" w:cs="Arial"/>
        </w:rPr>
        <w:t> </w:t>
      </w:r>
      <w:r w:rsidRPr="00B07D79">
        <w:rPr>
          <w:rFonts w:asciiTheme="minorHAnsi" w:hAnsiTheme="minorHAnsi" w:cs="Arial"/>
        </w:rPr>
        <w:t>vysoce výkonnému elektrickému napájení vyniká železnice nízkou energetickou náročností a</w:t>
      </w:r>
      <w:r w:rsidR="00CF2351" w:rsidRPr="00B07D79">
        <w:rPr>
          <w:rFonts w:asciiTheme="minorHAnsi" w:hAnsiTheme="minorHAnsi" w:cs="Arial"/>
        </w:rPr>
        <w:t> </w:t>
      </w:r>
      <w:r w:rsidRPr="00B07D79">
        <w:rPr>
          <w:rFonts w:asciiTheme="minorHAnsi" w:hAnsiTheme="minorHAnsi" w:cs="Arial"/>
        </w:rPr>
        <w:t xml:space="preserve">bezemisností. </w:t>
      </w:r>
    </w:p>
    <w:p w14:paraId="4833AED6" w14:textId="55364377"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Slabou stránkou železnice v</w:t>
      </w:r>
      <w:r w:rsidR="00CF2351" w:rsidRPr="00B07D79">
        <w:rPr>
          <w:rFonts w:asciiTheme="minorHAnsi" w:hAnsiTheme="minorHAnsi" w:cs="Arial"/>
        </w:rPr>
        <w:t> </w:t>
      </w:r>
      <w:r w:rsidRPr="00B07D79">
        <w:rPr>
          <w:rFonts w:asciiTheme="minorHAnsi" w:hAnsiTheme="minorHAnsi" w:cs="Arial"/>
        </w:rPr>
        <w:t>ČR je její nepříliš rozsáhlá síť</w:t>
      </w:r>
      <w:r w:rsidRPr="00B07D79">
        <w:rPr>
          <w:rStyle w:val="Znakapoznpodarou"/>
          <w:rFonts w:asciiTheme="minorHAnsi" w:hAnsiTheme="minorHAnsi" w:cs="Arial"/>
        </w:rPr>
        <w:footnoteReference w:id="18"/>
      </w:r>
      <w:r w:rsidRPr="00B07D79">
        <w:rPr>
          <w:rFonts w:asciiTheme="minorHAnsi" w:hAnsiTheme="minorHAnsi" w:cs="Arial"/>
        </w:rPr>
        <w:t>, která je navíc velmi nehomogenní. Převážná část dopravních výkonů osobní i</w:t>
      </w:r>
      <w:r w:rsidR="00CF2351" w:rsidRPr="00B07D79">
        <w:rPr>
          <w:rFonts w:asciiTheme="minorHAnsi" w:hAnsiTheme="minorHAnsi" w:cs="Arial"/>
        </w:rPr>
        <w:t> </w:t>
      </w:r>
      <w:r w:rsidRPr="00B07D79">
        <w:rPr>
          <w:rFonts w:asciiTheme="minorHAnsi" w:hAnsiTheme="minorHAnsi" w:cs="Arial"/>
        </w:rPr>
        <w:t xml:space="preserve">nákladní dopravy se odehrává na síti TEN-T. </w:t>
      </w:r>
    </w:p>
    <w:p w14:paraId="01C73178" w14:textId="4C412D5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Pro využití potenciálu železnice k</w:t>
      </w:r>
      <w:r w:rsidR="00CF2351" w:rsidRPr="00B07D79">
        <w:rPr>
          <w:rFonts w:asciiTheme="minorHAnsi" w:hAnsiTheme="minorHAnsi" w:cs="Arial"/>
        </w:rPr>
        <w:t> </w:t>
      </w:r>
      <w:r w:rsidRPr="00B07D79">
        <w:rPr>
          <w:rFonts w:asciiTheme="minorHAnsi" w:hAnsiTheme="minorHAnsi" w:cs="Arial"/>
        </w:rPr>
        <w:t>docílení extramodálních úspor energie a</w:t>
      </w:r>
      <w:r w:rsidR="00CF2351" w:rsidRPr="00B07D79">
        <w:rPr>
          <w:rFonts w:asciiTheme="minorHAnsi" w:hAnsiTheme="minorHAnsi" w:cs="Arial"/>
        </w:rPr>
        <w:t> </w:t>
      </w:r>
      <w:r w:rsidRPr="00B07D79">
        <w:rPr>
          <w:rFonts w:asciiTheme="minorHAnsi" w:hAnsiTheme="minorHAnsi" w:cs="Arial"/>
        </w:rPr>
        <w:t>emisí je nutné splnit dvě podmínky. Železnice musí nabídnout kvalitní přepravní nabídku, a</w:t>
      </w:r>
      <w:r w:rsidR="00CF2351" w:rsidRPr="00B07D79">
        <w:rPr>
          <w:rFonts w:asciiTheme="minorHAnsi" w:hAnsiTheme="minorHAnsi" w:cs="Arial"/>
        </w:rPr>
        <w:t> </w:t>
      </w:r>
      <w:r w:rsidRPr="00B07D79">
        <w:rPr>
          <w:rFonts w:asciiTheme="minorHAnsi" w:hAnsiTheme="minorHAnsi" w:cs="Arial"/>
        </w:rPr>
        <w:t>to rychlost, pohodlí, bezpečnost, spolehlivost a</w:t>
      </w:r>
      <w:r w:rsidR="00CF2351" w:rsidRPr="00B07D79">
        <w:rPr>
          <w:rFonts w:asciiTheme="minorHAnsi" w:hAnsiTheme="minorHAnsi" w:cs="Arial"/>
        </w:rPr>
        <w:t> </w:t>
      </w:r>
      <w:r w:rsidRPr="00B07D79">
        <w:rPr>
          <w:rFonts w:asciiTheme="minorHAnsi" w:hAnsiTheme="minorHAnsi" w:cs="Arial"/>
        </w:rPr>
        <w:t>dochvilnost za přijatelnou cenu a</w:t>
      </w:r>
      <w:r w:rsidR="00CF2351" w:rsidRPr="00B07D79">
        <w:rPr>
          <w:rFonts w:asciiTheme="minorHAnsi" w:hAnsiTheme="minorHAnsi" w:cs="Arial"/>
        </w:rPr>
        <w:t> </w:t>
      </w:r>
      <w:r w:rsidRPr="00B07D79">
        <w:rPr>
          <w:rFonts w:asciiTheme="minorHAnsi" w:hAnsiTheme="minorHAnsi" w:cs="Arial"/>
        </w:rPr>
        <w:t>také musí mít kapacitu zvýšenou přepravní poptávku přijmout.</w:t>
      </w:r>
    </w:p>
    <w:p w14:paraId="51C18762" w14:textId="21A03E23"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Modernizace tranzitních koridorů, spojená se zvýšení rychlosti na hodnotu až 160 km/h spolu s</w:t>
      </w:r>
      <w:r w:rsidR="00CF2351" w:rsidRPr="00B07D79">
        <w:rPr>
          <w:rFonts w:asciiTheme="minorHAnsi" w:hAnsiTheme="minorHAnsi" w:cs="Arial"/>
        </w:rPr>
        <w:t> </w:t>
      </w:r>
      <w:r w:rsidRPr="00B07D79">
        <w:rPr>
          <w:rFonts w:asciiTheme="minorHAnsi" w:hAnsiTheme="minorHAnsi" w:cs="Arial"/>
        </w:rPr>
        <w:t>příchodem nových moderních vozidel, ukázala příznivou odezvu obyvatelstva na nabídku rychlého a</w:t>
      </w:r>
      <w:r w:rsidR="00CF2351" w:rsidRPr="00B07D79">
        <w:rPr>
          <w:rFonts w:asciiTheme="minorHAnsi" w:hAnsiTheme="minorHAnsi" w:cs="Arial"/>
        </w:rPr>
        <w:t> </w:t>
      </w:r>
      <w:r w:rsidRPr="00B07D79">
        <w:rPr>
          <w:rFonts w:asciiTheme="minorHAnsi" w:hAnsiTheme="minorHAnsi" w:cs="Arial"/>
        </w:rPr>
        <w:t xml:space="preserve">kvalitního cestování. </w:t>
      </w:r>
      <w:r w:rsidRPr="00B07D79">
        <w:rPr>
          <w:rFonts w:asciiTheme="minorHAnsi" w:hAnsiTheme="minorHAnsi" w:cs="Arial"/>
          <w:iCs/>
        </w:rPr>
        <w:t>Přechod cestujících z</w:t>
      </w:r>
      <w:r w:rsidR="00CF2351" w:rsidRPr="00B07D79">
        <w:rPr>
          <w:rFonts w:asciiTheme="minorHAnsi" w:hAnsiTheme="minorHAnsi" w:cs="Arial"/>
          <w:iCs/>
        </w:rPr>
        <w:t> </w:t>
      </w:r>
      <w:r w:rsidRPr="00B07D79">
        <w:rPr>
          <w:rFonts w:asciiTheme="minorHAnsi" w:hAnsiTheme="minorHAnsi" w:cs="Arial"/>
          <w:iCs/>
        </w:rPr>
        <w:t>automobilové dopravy na železnici je provázen významnými úsporami energie a</w:t>
      </w:r>
      <w:r w:rsidR="00CF2351" w:rsidRPr="00B07D79">
        <w:rPr>
          <w:rFonts w:asciiTheme="minorHAnsi" w:hAnsiTheme="minorHAnsi" w:cs="Arial"/>
          <w:iCs/>
        </w:rPr>
        <w:t> </w:t>
      </w:r>
      <w:r w:rsidRPr="00B07D79">
        <w:rPr>
          <w:rFonts w:asciiTheme="minorHAnsi" w:hAnsiTheme="minorHAnsi" w:cs="Arial"/>
          <w:iCs/>
        </w:rPr>
        <w:t>emisí</w:t>
      </w:r>
      <w:r w:rsidR="00377C8E" w:rsidRPr="00B07D79">
        <w:rPr>
          <w:rFonts w:asciiTheme="minorHAnsi" w:hAnsiTheme="minorHAnsi" w:cs="Arial"/>
          <w:iCs/>
        </w:rPr>
        <w:t>.</w:t>
      </w:r>
      <w:r w:rsidRPr="00B07D79">
        <w:rPr>
          <w:rStyle w:val="Znakapoznpodarou"/>
          <w:rFonts w:asciiTheme="minorHAnsi" w:hAnsiTheme="minorHAnsi" w:cs="Arial"/>
          <w:iCs/>
        </w:rPr>
        <w:footnoteReference w:id="19"/>
      </w:r>
      <w:r w:rsidR="00B07D79">
        <w:rPr>
          <w:rFonts w:asciiTheme="minorHAnsi" w:hAnsiTheme="minorHAnsi" w:cs="Arial"/>
          <w:iCs/>
        </w:rPr>
        <w:t xml:space="preserve"> </w:t>
      </w:r>
      <w:r w:rsidRPr="00B07D79">
        <w:rPr>
          <w:rFonts w:asciiTheme="minorHAnsi" w:hAnsiTheme="minorHAnsi" w:cs="Arial"/>
        </w:rPr>
        <w:t>(viz obr. níže)</w:t>
      </w:r>
    </w:p>
    <w:p w14:paraId="48752823" w14:textId="0780A109" w:rsidR="00377C8E" w:rsidRDefault="00377C8E" w:rsidP="00B07D79">
      <w:pPr>
        <w:spacing w:line="276" w:lineRule="auto"/>
        <w:jc w:val="both"/>
        <w:rPr>
          <w:rFonts w:asciiTheme="minorHAnsi" w:hAnsiTheme="minorHAnsi" w:cs="Arial"/>
        </w:rPr>
      </w:pPr>
    </w:p>
    <w:p w14:paraId="6CAE95F5" w14:textId="00BBC0FC" w:rsidR="005E2F84" w:rsidRDefault="005E2F84" w:rsidP="00B07D79">
      <w:pPr>
        <w:spacing w:line="276" w:lineRule="auto"/>
        <w:jc w:val="both"/>
        <w:rPr>
          <w:rFonts w:asciiTheme="minorHAnsi" w:hAnsiTheme="minorHAnsi" w:cs="Arial"/>
        </w:rPr>
      </w:pPr>
    </w:p>
    <w:p w14:paraId="3DE72318" w14:textId="673A1540" w:rsidR="005E2F84" w:rsidRDefault="005E2F84" w:rsidP="00B07D79">
      <w:pPr>
        <w:spacing w:line="276" w:lineRule="auto"/>
        <w:jc w:val="both"/>
        <w:rPr>
          <w:rFonts w:asciiTheme="minorHAnsi" w:hAnsiTheme="minorHAnsi" w:cs="Arial"/>
        </w:rPr>
      </w:pPr>
    </w:p>
    <w:p w14:paraId="3A4E3322" w14:textId="650C74FE" w:rsidR="005E2F84" w:rsidRDefault="005E2F84" w:rsidP="00B07D79">
      <w:pPr>
        <w:spacing w:line="276" w:lineRule="auto"/>
        <w:jc w:val="both"/>
        <w:rPr>
          <w:rFonts w:asciiTheme="minorHAnsi" w:hAnsiTheme="minorHAnsi" w:cs="Arial"/>
        </w:rPr>
      </w:pPr>
    </w:p>
    <w:p w14:paraId="29F125B7" w14:textId="2340B779" w:rsidR="005E2F84" w:rsidRDefault="005E2F84" w:rsidP="00B07D79">
      <w:pPr>
        <w:spacing w:line="276" w:lineRule="auto"/>
        <w:jc w:val="both"/>
        <w:rPr>
          <w:rFonts w:asciiTheme="minorHAnsi" w:hAnsiTheme="minorHAnsi" w:cs="Arial"/>
        </w:rPr>
      </w:pPr>
    </w:p>
    <w:p w14:paraId="04CB5635" w14:textId="07B6DA0B" w:rsidR="005E2F84" w:rsidRDefault="005E2F84" w:rsidP="00B07D79">
      <w:pPr>
        <w:spacing w:line="276" w:lineRule="auto"/>
        <w:jc w:val="both"/>
        <w:rPr>
          <w:rFonts w:asciiTheme="minorHAnsi" w:hAnsiTheme="minorHAnsi" w:cs="Arial"/>
        </w:rPr>
      </w:pPr>
    </w:p>
    <w:p w14:paraId="0CD7809C" w14:textId="426DA562" w:rsidR="005E2F84" w:rsidRDefault="005E2F84" w:rsidP="00B07D79">
      <w:pPr>
        <w:spacing w:line="276" w:lineRule="auto"/>
        <w:jc w:val="both"/>
        <w:rPr>
          <w:rFonts w:asciiTheme="minorHAnsi" w:hAnsiTheme="minorHAnsi" w:cs="Arial"/>
        </w:rPr>
      </w:pPr>
    </w:p>
    <w:p w14:paraId="036E69BC" w14:textId="3DDB0F90" w:rsidR="005E2F84" w:rsidRDefault="005E2F84" w:rsidP="00B07D79">
      <w:pPr>
        <w:spacing w:line="276" w:lineRule="auto"/>
        <w:jc w:val="both"/>
        <w:rPr>
          <w:rFonts w:asciiTheme="minorHAnsi" w:hAnsiTheme="minorHAnsi" w:cs="Arial"/>
        </w:rPr>
      </w:pPr>
    </w:p>
    <w:p w14:paraId="17F0DEFB" w14:textId="0EA70A98" w:rsidR="005E2F84" w:rsidRDefault="005E2F84" w:rsidP="00B07D79">
      <w:pPr>
        <w:spacing w:line="276" w:lineRule="auto"/>
        <w:jc w:val="both"/>
        <w:rPr>
          <w:rFonts w:asciiTheme="minorHAnsi" w:hAnsiTheme="minorHAnsi" w:cs="Arial"/>
        </w:rPr>
      </w:pPr>
    </w:p>
    <w:p w14:paraId="394E20AB" w14:textId="0548037C" w:rsidR="005E2F84" w:rsidRDefault="005E2F84" w:rsidP="00B07D79">
      <w:pPr>
        <w:spacing w:line="276" w:lineRule="auto"/>
        <w:jc w:val="both"/>
        <w:rPr>
          <w:rFonts w:asciiTheme="minorHAnsi" w:hAnsiTheme="minorHAnsi" w:cs="Arial"/>
        </w:rPr>
      </w:pPr>
    </w:p>
    <w:p w14:paraId="36BA6AD6" w14:textId="28A175D3" w:rsidR="005E2F84" w:rsidRDefault="005E2F84" w:rsidP="00B07D79">
      <w:pPr>
        <w:spacing w:line="276" w:lineRule="auto"/>
        <w:jc w:val="both"/>
        <w:rPr>
          <w:rFonts w:asciiTheme="minorHAnsi" w:hAnsiTheme="minorHAnsi" w:cs="Arial"/>
        </w:rPr>
      </w:pPr>
    </w:p>
    <w:p w14:paraId="5531F093" w14:textId="77E717D5" w:rsidR="005E2F84" w:rsidRDefault="005E2F84" w:rsidP="00B07D79">
      <w:pPr>
        <w:spacing w:line="276" w:lineRule="auto"/>
        <w:jc w:val="both"/>
        <w:rPr>
          <w:rFonts w:asciiTheme="minorHAnsi" w:hAnsiTheme="minorHAnsi" w:cs="Arial"/>
        </w:rPr>
      </w:pPr>
    </w:p>
    <w:p w14:paraId="778A3DD0" w14:textId="0D724316" w:rsidR="005E2F84" w:rsidRDefault="005E2F84" w:rsidP="00B07D79">
      <w:pPr>
        <w:spacing w:line="276" w:lineRule="auto"/>
        <w:jc w:val="both"/>
        <w:rPr>
          <w:rFonts w:asciiTheme="minorHAnsi" w:hAnsiTheme="minorHAnsi" w:cs="Arial"/>
        </w:rPr>
      </w:pPr>
    </w:p>
    <w:p w14:paraId="73845378" w14:textId="36831071" w:rsidR="005E2F84" w:rsidRDefault="005E2F84" w:rsidP="00B07D79">
      <w:pPr>
        <w:spacing w:line="276" w:lineRule="auto"/>
        <w:jc w:val="both"/>
        <w:rPr>
          <w:rFonts w:asciiTheme="minorHAnsi" w:hAnsiTheme="minorHAnsi" w:cs="Arial"/>
        </w:rPr>
      </w:pPr>
    </w:p>
    <w:p w14:paraId="5D1A7D9D" w14:textId="77777777" w:rsidR="005E2F84" w:rsidRPr="00B07D79" w:rsidRDefault="005E2F84" w:rsidP="00B07D79">
      <w:pPr>
        <w:spacing w:line="276" w:lineRule="auto"/>
        <w:jc w:val="both"/>
        <w:rPr>
          <w:rFonts w:asciiTheme="minorHAnsi" w:hAnsiTheme="minorHAnsi" w:cs="Arial"/>
        </w:rPr>
      </w:pPr>
    </w:p>
    <w:p w14:paraId="5C412C31" w14:textId="0C0378FC" w:rsidR="00377C8E" w:rsidRPr="00B07D79" w:rsidRDefault="00377C8E" w:rsidP="00B07D79">
      <w:pPr>
        <w:spacing w:line="276" w:lineRule="auto"/>
        <w:jc w:val="both"/>
        <w:rPr>
          <w:rFonts w:asciiTheme="minorHAnsi" w:hAnsiTheme="minorHAnsi" w:cs="Arial"/>
          <w:color w:val="385623" w:themeColor="accent6" w:themeShade="80"/>
        </w:rPr>
      </w:pPr>
      <w:r w:rsidRPr="00B07D79">
        <w:rPr>
          <w:rFonts w:asciiTheme="minorHAnsi" w:hAnsiTheme="minorHAnsi" w:cs="Arial"/>
          <w:color w:val="385623" w:themeColor="accent6" w:themeShade="80"/>
        </w:rPr>
        <w:lastRenderedPageBreak/>
        <w:t xml:space="preserve">Obrázek 4 </w:t>
      </w:r>
      <w:r w:rsidR="005E2F84">
        <w:rPr>
          <w:rFonts w:asciiTheme="minorHAnsi" w:hAnsiTheme="minorHAnsi" w:cs="Arial"/>
          <w:color w:val="385623" w:themeColor="accent6" w:themeShade="80"/>
        </w:rPr>
        <w:t xml:space="preserve">Cestování železnicí z Prahy a do Prahy </w:t>
      </w:r>
    </w:p>
    <w:p w14:paraId="08739CB0" w14:textId="556FA3D9" w:rsidR="00543428" w:rsidRPr="00B07D79" w:rsidRDefault="00543428" w:rsidP="00B07D79">
      <w:pPr>
        <w:spacing w:line="276" w:lineRule="auto"/>
        <w:jc w:val="both"/>
        <w:rPr>
          <w:rFonts w:asciiTheme="minorHAnsi" w:hAnsiTheme="minorHAnsi" w:cs="Arial"/>
        </w:rPr>
      </w:pPr>
      <w:r w:rsidRPr="00B07D79">
        <w:rPr>
          <w:rFonts w:asciiTheme="minorHAnsi" w:hAnsiTheme="minorHAnsi"/>
          <w:noProof/>
        </w:rPr>
        <w:drawing>
          <wp:inline distT="0" distB="0" distL="0" distR="0" wp14:anchorId="42975747" wp14:editId="6671CBB6">
            <wp:extent cx="5661964" cy="478228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3324" cy="4791875"/>
                    </a:xfrm>
                    <a:prstGeom prst="rect">
                      <a:avLst/>
                    </a:prstGeom>
                  </pic:spPr>
                </pic:pic>
              </a:graphicData>
            </a:graphic>
          </wp:inline>
        </w:drawing>
      </w:r>
    </w:p>
    <w:p w14:paraId="564ECD80" w14:textId="5E59022E"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Vůči silniční automobilové dopravě s</w:t>
      </w:r>
      <w:r w:rsidR="00CF2351" w:rsidRPr="00B07D79">
        <w:rPr>
          <w:rFonts w:asciiTheme="minorHAnsi" w:hAnsiTheme="minorHAnsi" w:cs="Arial"/>
        </w:rPr>
        <w:t> </w:t>
      </w:r>
      <w:r w:rsidRPr="00B07D79">
        <w:rPr>
          <w:rFonts w:asciiTheme="minorHAnsi" w:hAnsiTheme="minorHAnsi" w:cs="Arial"/>
        </w:rPr>
        <w:t>měrnou spotřebou energie cca 0,5 kWh/os km, která by pro zajištění tohoto přepravního výkonu spotřebovala cca 1 550 mil. kWh energie paliva (cca 155 mil. litrů kapalného paliva/rok), zajistila železnice tuto zvýšenou přepravu cestujících při nárůstu spotřeby elektrické energie jen o</w:t>
      </w:r>
      <w:r w:rsidR="00CF2351" w:rsidRPr="00B07D79">
        <w:rPr>
          <w:rFonts w:asciiTheme="minorHAnsi" w:hAnsiTheme="minorHAnsi" w:cs="Arial"/>
        </w:rPr>
        <w:t> </w:t>
      </w:r>
      <w:r w:rsidRPr="00B07D79">
        <w:rPr>
          <w:rFonts w:asciiTheme="minorHAnsi" w:hAnsiTheme="minorHAnsi" w:cs="Arial"/>
        </w:rPr>
        <w:t>75 mil. kWh/rok, což znamená oproti automobilům úsporu energie 1 475 mil. kWh/rok. Zároveň došlo k</w:t>
      </w:r>
      <w:r w:rsidR="00CF2351" w:rsidRPr="00B07D79">
        <w:rPr>
          <w:rFonts w:asciiTheme="minorHAnsi" w:hAnsiTheme="minorHAnsi" w:cs="Arial"/>
        </w:rPr>
        <w:t> </w:t>
      </w:r>
      <w:r w:rsidRPr="00B07D79">
        <w:rPr>
          <w:rFonts w:asciiTheme="minorHAnsi" w:hAnsiTheme="minorHAnsi" w:cs="Arial"/>
        </w:rPr>
        <w:t>velmi výraznému snížení emisí oxidu uhličitého o</w:t>
      </w:r>
      <w:r w:rsidR="00CF2351" w:rsidRPr="00B07D79">
        <w:rPr>
          <w:rFonts w:asciiTheme="minorHAnsi" w:hAnsiTheme="minorHAnsi" w:cs="Arial"/>
        </w:rPr>
        <w:t> </w:t>
      </w:r>
      <w:r w:rsidRPr="00B07D79">
        <w:rPr>
          <w:rFonts w:asciiTheme="minorHAnsi" w:hAnsiTheme="minorHAnsi" w:cs="Arial"/>
        </w:rPr>
        <w:t>téměř 400 mil. kg/rok.</w:t>
      </w:r>
    </w:p>
    <w:p w14:paraId="282E7EDE" w14:textId="64E8CF94"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S cílem pokračovat v</w:t>
      </w:r>
      <w:r w:rsidR="00CF2351" w:rsidRPr="00B07D79">
        <w:rPr>
          <w:rFonts w:asciiTheme="minorHAnsi" w:hAnsiTheme="minorHAnsi" w:cs="Arial"/>
        </w:rPr>
        <w:t> </w:t>
      </w:r>
      <w:r w:rsidRPr="00B07D79">
        <w:rPr>
          <w:rFonts w:asciiTheme="minorHAnsi" w:hAnsiTheme="minorHAnsi" w:cs="Arial"/>
        </w:rPr>
        <w:t>tomto úspěšném trendu úspor energie a</w:t>
      </w:r>
      <w:r w:rsidR="00CF2351" w:rsidRPr="00B07D79">
        <w:rPr>
          <w:rFonts w:asciiTheme="minorHAnsi" w:hAnsiTheme="minorHAnsi" w:cs="Arial"/>
        </w:rPr>
        <w:t> </w:t>
      </w:r>
      <w:r w:rsidRPr="00B07D79">
        <w:rPr>
          <w:rFonts w:asciiTheme="minorHAnsi" w:hAnsiTheme="minorHAnsi" w:cs="Arial"/>
        </w:rPr>
        <w:t>emisí je v</w:t>
      </w:r>
      <w:r w:rsidR="00CF2351" w:rsidRPr="00B07D79">
        <w:rPr>
          <w:rFonts w:asciiTheme="minorHAnsi" w:hAnsiTheme="minorHAnsi" w:cs="Arial"/>
        </w:rPr>
        <w:t> </w:t>
      </w:r>
      <w:r w:rsidRPr="00B07D79">
        <w:rPr>
          <w:rFonts w:asciiTheme="minorHAnsi" w:hAnsiTheme="minorHAnsi" w:cs="Arial"/>
        </w:rPr>
        <w:t>ČR připravováno budování železničního systému Rychlých spojení, který je kombinací novostaveb železnic Evropského vysokorychlostního železničního systému (HS) s</w:t>
      </w:r>
      <w:r w:rsidR="00CF2351" w:rsidRPr="00B07D79">
        <w:rPr>
          <w:rFonts w:asciiTheme="minorHAnsi" w:hAnsiTheme="minorHAnsi" w:cs="Arial"/>
        </w:rPr>
        <w:t> </w:t>
      </w:r>
      <w:r w:rsidRPr="00B07D79">
        <w:rPr>
          <w:rFonts w:asciiTheme="minorHAnsi" w:hAnsiTheme="minorHAnsi" w:cs="Arial"/>
        </w:rPr>
        <w:t>nejvyšší provozní rychlostí 320 km/h, a</w:t>
      </w:r>
      <w:r w:rsidR="00CF2351" w:rsidRPr="00B07D79">
        <w:rPr>
          <w:rFonts w:asciiTheme="minorHAnsi" w:hAnsiTheme="minorHAnsi" w:cs="Arial"/>
        </w:rPr>
        <w:t> </w:t>
      </w:r>
      <w:r w:rsidRPr="00B07D79">
        <w:rPr>
          <w:rFonts w:asciiTheme="minorHAnsi" w:hAnsiTheme="minorHAnsi" w:cs="Arial"/>
        </w:rPr>
        <w:t>modernizace konvenčních železničních tratí (CR) s</w:t>
      </w:r>
      <w:r w:rsidR="00CF2351" w:rsidRPr="00B07D79">
        <w:rPr>
          <w:rFonts w:asciiTheme="minorHAnsi" w:hAnsiTheme="minorHAnsi" w:cs="Arial"/>
        </w:rPr>
        <w:t> </w:t>
      </w:r>
      <w:r w:rsidRPr="00B07D79">
        <w:rPr>
          <w:rFonts w:asciiTheme="minorHAnsi" w:hAnsiTheme="minorHAnsi" w:cs="Arial"/>
        </w:rPr>
        <w:t>nejvyšší provozní rychlostí 200 km/h.</w:t>
      </w:r>
    </w:p>
    <w:p w14:paraId="1AC5DC8C" w14:textId="02E6B641"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Tratě vysokorychlostního železničního systému přinesou jak novou kvalitu, tak i</w:t>
      </w:r>
      <w:r w:rsidR="00CF2351" w:rsidRPr="00B07D79">
        <w:rPr>
          <w:rFonts w:asciiTheme="minorHAnsi" w:hAnsiTheme="minorHAnsi" w:cs="Arial"/>
        </w:rPr>
        <w:t> </w:t>
      </w:r>
      <w:r w:rsidRPr="00B07D79">
        <w:rPr>
          <w:rFonts w:asciiTheme="minorHAnsi" w:hAnsiTheme="minorHAnsi" w:cs="Arial"/>
        </w:rPr>
        <w:t>novou kapacitu. Tratě mají přednost v</w:t>
      </w:r>
      <w:r w:rsidR="00CF2351" w:rsidRPr="00B07D79">
        <w:rPr>
          <w:rFonts w:asciiTheme="minorHAnsi" w:hAnsiTheme="minorHAnsi" w:cs="Arial"/>
        </w:rPr>
        <w:t> </w:t>
      </w:r>
      <w:r w:rsidRPr="00B07D79">
        <w:rPr>
          <w:rFonts w:asciiTheme="minorHAnsi" w:hAnsiTheme="minorHAnsi" w:cs="Arial"/>
        </w:rPr>
        <w:t>přímém kratším vedení trasy, vyšší cestovní rychlosti 320 km/h a</w:t>
      </w:r>
      <w:r w:rsidR="00CF2351" w:rsidRPr="00B07D79">
        <w:rPr>
          <w:rFonts w:asciiTheme="minorHAnsi" w:hAnsiTheme="minorHAnsi" w:cs="Arial"/>
        </w:rPr>
        <w:t> </w:t>
      </w:r>
      <w:r w:rsidRPr="00B07D79">
        <w:rPr>
          <w:rFonts w:asciiTheme="minorHAnsi" w:hAnsiTheme="minorHAnsi" w:cs="Arial"/>
        </w:rPr>
        <w:t>v krátkém taktu. Budování nových vysokorychlostních tratí povede k</w:t>
      </w:r>
      <w:r w:rsidR="00CF2351" w:rsidRPr="00B07D79">
        <w:rPr>
          <w:rFonts w:asciiTheme="minorHAnsi" w:hAnsiTheme="minorHAnsi" w:cs="Arial"/>
        </w:rPr>
        <w:t> </w:t>
      </w:r>
      <w:r w:rsidRPr="00B07D79">
        <w:rPr>
          <w:rFonts w:asciiTheme="minorHAnsi" w:hAnsiTheme="minorHAnsi" w:cs="Arial"/>
        </w:rPr>
        <w:t>uvolnění konvenčních tratí rychlostní segregací pro potřeby regionální osobní dopravy a</w:t>
      </w:r>
      <w:r w:rsidR="00CF2351" w:rsidRPr="00B07D79">
        <w:rPr>
          <w:rFonts w:asciiTheme="minorHAnsi" w:hAnsiTheme="minorHAnsi" w:cs="Arial"/>
        </w:rPr>
        <w:t> </w:t>
      </w:r>
      <w:r w:rsidRPr="00B07D79">
        <w:rPr>
          <w:rFonts w:asciiTheme="minorHAnsi" w:hAnsiTheme="minorHAnsi" w:cs="Arial"/>
        </w:rPr>
        <w:t>nákladní dopravy. Modernizované konvenční železniční tratě doplní síť vysokorychlostních železnic tak, aby byly na systém Rychlých spojení napojeny všechny kraje. Cílem je podpora polycentrické struktury osídlení tak, aby byla celá plocha území ČR integrována do společného systému tvorby a</w:t>
      </w:r>
      <w:r w:rsidR="00CF2351" w:rsidRPr="00B07D79">
        <w:rPr>
          <w:rFonts w:asciiTheme="minorHAnsi" w:hAnsiTheme="minorHAnsi" w:cs="Arial"/>
        </w:rPr>
        <w:t> </w:t>
      </w:r>
      <w:r w:rsidRPr="00B07D79">
        <w:rPr>
          <w:rFonts w:asciiTheme="minorHAnsi" w:hAnsiTheme="minorHAnsi" w:cs="Arial"/>
        </w:rPr>
        <w:t>spotřeby hodnot.</w:t>
      </w:r>
    </w:p>
    <w:p w14:paraId="11EEDB79" w14:textId="7C451AEF" w:rsidR="00377C8E" w:rsidRPr="00B07D79" w:rsidRDefault="00543428" w:rsidP="00B07D79">
      <w:pPr>
        <w:spacing w:line="276" w:lineRule="auto"/>
        <w:jc w:val="both"/>
        <w:rPr>
          <w:rFonts w:asciiTheme="minorHAnsi" w:hAnsiTheme="minorHAnsi" w:cs="Arial"/>
        </w:rPr>
      </w:pPr>
      <w:r w:rsidRPr="00B07D79">
        <w:rPr>
          <w:rFonts w:asciiTheme="minorHAnsi" w:hAnsiTheme="minorHAnsi" w:cs="Arial"/>
        </w:rPr>
        <w:lastRenderedPageBreak/>
        <w:t>Potenciál železnice ke snížení energetické i</w:t>
      </w:r>
      <w:r w:rsidR="00CF2351" w:rsidRPr="00B07D79">
        <w:rPr>
          <w:rFonts w:asciiTheme="minorHAnsi" w:hAnsiTheme="minorHAnsi" w:cs="Arial"/>
        </w:rPr>
        <w:t> </w:t>
      </w:r>
      <w:r w:rsidRPr="00B07D79">
        <w:rPr>
          <w:rFonts w:asciiTheme="minorHAnsi" w:hAnsiTheme="minorHAnsi" w:cs="Arial"/>
        </w:rPr>
        <w:t>emisní náročnosti v</w:t>
      </w:r>
      <w:r w:rsidR="00CF2351" w:rsidRPr="00B07D79">
        <w:rPr>
          <w:rFonts w:asciiTheme="minorHAnsi" w:hAnsiTheme="minorHAnsi" w:cs="Arial"/>
        </w:rPr>
        <w:t> </w:t>
      </w:r>
      <w:r w:rsidRPr="00B07D79">
        <w:rPr>
          <w:rFonts w:asciiTheme="minorHAnsi" w:hAnsiTheme="minorHAnsi" w:cs="Arial"/>
        </w:rPr>
        <w:t>oblasti nákladní dopravy není náležitě využit. V</w:t>
      </w:r>
      <w:r w:rsidR="00CF2351" w:rsidRPr="00B07D79">
        <w:rPr>
          <w:rFonts w:asciiTheme="minorHAnsi" w:hAnsiTheme="minorHAnsi" w:cs="Arial"/>
        </w:rPr>
        <w:t> </w:t>
      </w:r>
      <w:r w:rsidRPr="00B07D79">
        <w:rPr>
          <w:rFonts w:asciiTheme="minorHAnsi" w:hAnsiTheme="minorHAnsi" w:cs="Arial"/>
        </w:rPr>
        <w:t>současnosti je v</w:t>
      </w:r>
      <w:r w:rsidR="00CF2351" w:rsidRPr="00B07D79">
        <w:rPr>
          <w:rFonts w:asciiTheme="minorHAnsi" w:hAnsiTheme="minorHAnsi" w:cs="Arial"/>
        </w:rPr>
        <w:t> </w:t>
      </w:r>
      <w:r w:rsidRPr="00B07D79">
        <w:rPr>
          <w:rFonts w:asciiTheme="minorHAnsi" w:hAnsiTheme="minorHAnsi" w:cs="Arial"/>
        </w:rPr>
        <w:t>ČR železnice zapojena do plnění úkolů nákladní dopravy velmi slabě. To platí zejména o</w:t>
      </w:r>
      <w:r w:rsidR="00CF2351" w:rsidRPr="00B07D79">
        <w:rPr>
          <w:rFonts w:asciiTheme="minorHAnsi" w:hAnsiTheme="minorHAnsi" w:cs="Arial"/>
        </w:rPr>
        <w:t> </w:t>
      </w:r>
      <w:r w:rsidRPr="00B07D79">
        <w:rPr>
          <w:rFonts w:asciiTheme="minorHAnsi" w:hAnsiTheme="minorHAnsi" w:cs="Arial"/>
        </w:rPr>
        <w:t xml:space="preserve">vnitrostátní nákladní dopravě. 2/3 přepravních výkonů nákladní železniční dopravy na území reprezentuje mezistátní přeprava (viz obr. 5). </w:t>
      </w:r>
    </w:p>
    <w:p w14:paraId="4CC1D4A3" w14:textId="742D5507" w:rsidR="00377C8E" w:rsidRPr="00B07D79" w:rsidRDefault="00377C8E" w:rsidP="00B07D79">
      <w:pPr>
        <w:spacing w:line="276" w:lineRule="auto"/>
        <w:jc w:val="both"/>
        <w:rPr>
          <w:rFonts w:asciiTheme="minorHAnsi" w:hAnsiTheme="minorHAnsi" w:cs="Arial"/>
          <w:color w:val="385623" w:themeColor="accent6" w:themeShade="80"/>
        </w:rPr>
      </w:pPr>
      <w:r w:rsidRPr="00B07D79">
        <w:rPr>
          <w:rFonts w:asciiTheme="minorHAnsi" w:hAnsiTheme="minorHAnsi" w:cs="Arial"/>
          <w:color w:val="385623" w:themeColor="accent6" w:themeShade="80"/>
        </w:rPr>
        <w:t>Obrázek 5</w:t>
      </w:r>
      <w:r w:rsidR="003A7DBF" w:rsidRPr="00B07D79">
        <w:rPr>
          <w:rFonts w:asciiTheme="minorHAnsi" w:hAnsiTheme="minorHAnsi" w:cs="Arial"/>
          <w:color w:val="385623" w:themeColor="accent6" w:themeShade="80"/>
        </w:rPr>
        <w:t xml:space="preserve"> Struktura přepravních výkonů nákladní dopravy na území ČR v roce 2019</w:t>
      </w:r>
    </w:p>
    <w:p w14:paraId="47FA248C" w14:textId="0227364B"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noProof/>
        </w:rPr>
        <w:drawing>
          <wp:inline distT="0" distB="0" distL="0" distR="0" wp14:anchorId="42FC266B" wp14:editId="56CF5511">
            <wp:extent cx="5647334" cy="35907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9839" cy="3598741"/>
                    </a:xfrm>
                    <a:prstGeom prst="rect">
                      <a:avLst/>
                    </a:prstGeom>
                  </pic:spPr>
                </pic:pic>
              </a:graphicData>
            </a:graphic>
          </wp:inline>
        </w:drawing>
      </w:r>
    </w:p>
    <w:p w14:paraId="6258F6A2" w14:textId="48582BD9"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Základní programový dokument EU, Sdělení Evropské komise Evropskému Parlamentu a</w:t>
      </w:r>
      <w:r w:rsidR="00CF2351" w:rsidRPr="00B07D79">
        <w:rPr>
          <w:rFonts w:asciiTheme="minorHAnsi" w:hAnsiTheme="minorHAnsi" w:cs="Arial"/>
        </w:rPr>
        <w:t> </w:t>
      </w:r>
      <w:r w:rsidRPr="00B07D79">
        <w:rPr>
          <w:rFonts w:asciiTheme="minorHAnsi" w:hAnsiTheme="minorHAnsi" w:cs="Arial"/>
        </w:rPr>
        <w:t>Radě COM</w:t>
      </w:r>
      <w:r w:rsidR="00B07D79">
        <w:rPr>
          <w:rFonts w:asciiTheme="minorHAnsi" w:hAnsiTheme="minorHAnsi" w:cs="Arial"/>
        </w:rPr>
        <w:t xml:space="preserve"> </w:t>
      </w:r>
      <w:r w:rsidRPr="00B07D79">
        <w:rPr>
          <w:rFonts w:asciiTheme="minorHAnsi" w:hAnsiTheme="minorHAnsi" w:cs="Arial"/>
        </w:rPr>
        <w:t xml:space="preserve">(2019) 640 Green </w:t>
      </w:r>
      <w:proofErr w:type="spellStart"/>
      <w:r w:rsidRPr="00B07D79">
        <w:rPr>
          <w:rFonts w:asciiTheme="minorHAnsi" w:hAnsiTheme="minorHAnsi" w:cs="Arial"/>
        </w:rPr>
        <w:t>deal</w:t>
      </w:r>
      <w:proofErr w:type="spellEnd"/>
      <w:r w:rsidRPr="00B07D79">
        <w:rPr>
          <w:rFonts w:asciiTheme="minorHAnsi" w:hAnsiTheme="minorHAnsi" w:cs="Arial"/>
        </w:rPr>
        <w:t xml:space="preserve"> uvádí v</w:t>
      </w:r>
      <w:r w:rsidR="00CF2351" w:rsidRPr="00B07D79">
        <w:rPr>
          <w:rFonts w:asciiTheme="minorHAnsi" w:hAnsiTheme="minorHAnsi" w:cs="Arial"/>
        </w:rPr>
        <w:t> </w:t>
      </w:r>
      <w:r w:rsidRPr="00B07D79">
        <w:rPr>
          <w:rFonts w:asciiTheme="minorHAnsi" w:hAnsiTheme="minorHAnsi" w:cs="Arial"/>
        </w:rPr>
        <w:t>kapitole 2.1.5 úkol převést do roku 2050 ze silnic na železnice a</w:t>
      </w:r>
      <w:r w:rsidR="00CF2351" w:rsidRPr="00B07D79">
        <w:rPr>
          <w:rFonts w:asciiTheme="minorHAnsi" w:hAnsiTheme="minorHAnsi" w:cs="Arial"/>
        </w:rPr>
        <w:t> </w:t>
      </w:r>
      <w:r w:rsidRPr="00B07D79">
        <w:rPr>
          <w:rFonts w:asciiTheme="minorHAnsi" w:hAnsiTheme="minorHAnsi" w:cs="Arial"/>
        </w:rPr>
        <w:t>vodu 75 % nákladní dopravy. Nejde o</w:t>
      </w:r>
      <w:r w:rsidR="00CF2351" w:rsidRPr="00B07D79">
        <w:rPr>
          <w:rFonts w:asciiTheme="minorHAnsi" w:hAnsiTheme="minorHAnsi" w:cs="Arial"/>
        </w:rPr>
        <w:t> </w:t>
      </w:r>
      <w:r w:rsidRPr="00B07D79">
        <w:rPr>
          <w:rFonts w:asciiTheme="minorHAnsi" w:hAnsiTheme="minorHAnsi" w:cs="Arial"/>
        </w:rPr>
        <w:t>novinku, tento cíl EU navazuje na předchozí cíl uvedený ve Sdělení Evropské komise Evropskému Parlamentu a</w:t>
      </w:r>
      <w:r w:rsidR="00CF2351" w:rsidRPr="00B07D79">
        <w:rPr>
          <w:rFonts w:asciiTheme="minorHAnsi" w:hAnsiTheme="minorHAnsi" w:cs="Arial"/>
        </w:rPr>
        <w:t> </w:t>
      </w:r>
      <w:r w:rsidRPr="00B07D79">
        <w:rPr>
          <w:rFonts w:asciiTheme="minorHAnsi" w:hAnsiTheme="minorHAnsi" w:cs="Arial"/>
        </w:rPr>
        <w:t>Radě COM</w:t>
      </w:r>
      <w:r w:rsidR="00B07D79">
        <w:rPr>
          <w:rFonts w:asciiTheme="minorHAnsi" w:hAnsiTheme="minorHAnsi" w:cs="Arial"/>
        </w:rPr>
        <w:t xml:space="preserve"> </w:t>
      </w:r>
      <w:r w:rsidRPr="00B07D79">
        <w:rPr>
          <w:rFonts w:asciiTheme="minorHAnsi" w:hAnsiTheme="minorHAnsi" w:cs="Arial"/>
        </w:rPr>
        <w:t>(2011) 144 Bílá kniha – Plán jednotného evropského dopravního prostoru. Ten určoval úkol převést do roku 2030 ze silnic na železnice a</w:t>
      </w:r>
      <w:r w:rsidR="00CF2351" w:rsidRPr="00B07D79">
        <w:rPr>
          <w:rFonts w:asciiTheme="minorHAnsi" w:hAnsiTheme="minorHAnsi" w:cs="Arial"/>
        </w:rPr>
        <w:t> </w:t>
      </w:r>
      <w:r w:rsidRPr="00B07D79">
        <w:rPr>
          <w:rFonts w:asciiTheme="minorHAnsi" w:hAnsiTheme="minorHAnsi" w:cs="Arial"/>
        </w:rPr>
        <w:t>vodu 30 % nákladní dopravy a</w:t>
      </w:r>
      <w:r w:rsidR="00CF2351" w:rsidRPr="00B07D79">
        <w:rPr>
          <w:rFonts w:asciiTheme="minorHAnsi" w:hAnsiTheme="minorHAnsi" w:cs="Arial"/>
        </w:rPr>
        <w:t> </w:t>
      </w:r>
      <w:r w:rsidRPr="00B07D79">
        <w:rPr>
          <w:rFonts w:asciiTheme="minorHAnsi" w:hAnsiTheme="minorHAnsi" w:cs="Arial"/>
        </w:rPr>
        <w:t>byl Českou republikou v</w:t>
      </w:r>
      <w:r w:rsidR="00CF2351" w:rsidRPr="00B07D79">
        <w:rPr>
          <w:rFonts w:asciiTheme="minorHAnsi" w:hAnsiTheme="minorHAnsi" w:cs="Arial"/>
        </w:rPr>
        <w:t> </w:t>
      </w:r>
      <w:r w:rsidRPr="00B07D79">
        <w:rPr>
          <w:rFonts w:asciiTheme="minorHAnsi" w:hAnsiTheme="minorHAnsi" w:cs="Arial"/>
        </w:rPr>
        <w:t>roce 2015 převzat do vládou schváleného Národního plánu snižování emisí dle usnesení vlády 454/2004. Jeho aktualizace proběhla v</w:t>
      </w:r>
      <w:r w:rsidR="00CF2351" w:rsidRPr="00B07D79">
        <w:rPr>
          <w:rFonts w:asciiTheme="minorHAnsi" w:hAnsiTheme="minorHAnsi" w:cs="Arial"/>
        </w:rPr>
        <w:t> </w:t>
      </w:r>
      <w:r w:rsidRPr="00B07D79">
        <w:rPr>
          <w:rFonts w:asciiTheme="minorHAnsi" w:hAnsiTheme="minorHAnsi" w:cs="Arial"/>
        </w:rPr>
        <w:t>roce 2006 v</w:t>
      </w:r>
      <w:r w:rsidR="00CF2351" w:rsidRPr="00B07D79">
        <w:rPr>
          <w:rFonts w:asciiTheme="minorHAnsi" w:hAnsiTheme="minorHAnsi" w:cs="Arial"/>
        </w:rPr>
        <w:t> </w:t>
      </w:r>
      <w:r w:rsidRPr="00B07D79">
        <w:rPr>
          <w:rFonts w:asciiTheme="minorHAnsi" w:hAnsiTheme="minorHAnsi" w:cs="Arial"/>
        </w:rPr>
        <w:t>souladu s</w:t>
      </w:r>
      <w:r w:rsidR="00CF2351" w:rsidRPr="00B07D79">
        <w:rPr>
          <w:rFonts w:asciiTheme="minorHAnsi" w:hAnsiTheme="minorHAnsi" w:cs="Arial"/>
        </w:rPr>
        <w:t> </w:t>
      </w:r>
      <w:r w:rsidRPr="00B07D79">
        <w:rPr>
          <w:rFonts w:asciiTheme="minorHAnsi" w:hAnsiTheme="minorHAnsi" w:cs="Arial"/>
        </w:rPr>
        <w:t xml:space="preserve">požadavky na revize národních programů podle NECD. </w:t>
      </w:r>
    </w:p>
    <w:p w14:paraId="09FA94A6" w14:textId="538A95BC"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Myšlenka převést podstatnou část nákladní dopravy ze silnic na železnice má řadu racionálních motivů jako je humanizace měst a</w:t>
      </w:r>
      <w:r w:rsidR="00CF2351" w:rsidRPr="00B07D79">
        <w:rPr>
          <w:rFonts w:asciiTheme="minorHAnsi" w:hAnsiTheme="minorHAnsi" w:cs="Arial"/>
        </w:rPr>
        <w:t> </w:t>
      </w:r>
      <w:r w:rsidRPr="00B07D79">
        <w:rPr>
          <w:rFonts w:asciiTheme="minorHAnsi" w:hAnsiTheme="minorHAnsi" w:cs="Arial"/>
        </w:rPr>
        <w:t>obcí, kdy dojde k</w:t>
      </w:r>
      <w:r w:rsidR="00CF2351" w:rsidRPr="00B07D79">
        <w:rPr>
          <w:rFonts w:asciiTheme="minorHAnsi" w:hAnsiTheme="minorHAnsi" w:cs="Arial"/>
        </w:rPr>
        <w:t> </w:t>
      </w:r>
      <w:r w:rsidRPr="00B07D79">
        <w:rPr>
          <w:rFonts w:asciiTheme="minorHAnsi" w:hAnsiTheme="minorHAnsi" w:cs="Arial"/>
        </w:rPr>
        <w:t>odstranění tranzitní nákladní dopravy z</w:t>
      </w:r>
      <w:r w:rsidR="00CF2351" w:rsidRPr="00B07D79">
        <w:rPr>
          <w:rFonts w:asciiTheme="minorHAnsi" w:hAnsiTheme="minorHAnsi" w:cs="Arial"/>
        </w:rPr>
        <w:t> </w:t>
      </w:r>
      <w:r w:rsidRPr="00B07D79">
        <w:rPr>
          <w:rFonts w:asciiTheme="minorHAnsi" w:hAnsiTheme="minorHAnsi" w:cs="Arial"/>
        </w:rPr>
        <w:t>ulic. Tím se snížení poškozování vozovek intenzivní nákladní dopravou. Přechodem na železniční dopravu je možno řešit deficit profesních řidičů nákladních automobilů a</w:t>
      </w:r>
      <w:r w:rsidR="00CF2351" w:rsidRPr="00B07D79">
        <w:rPr>
          <w:rFonts w:asciiTheme="minorHAnsi" w:hAnsiTheme="minorHAnsi" w:cs="Arial"/>
        </w:rPr>
        <w:t> </w:t>
      </w:r>
      <w:r w:rsidRPr="00B07D79">
        <w:rPr>
          <w:rFonts w:asciiTheme="minorHAnsi" w:hAnsiTheme="minorHAnsi" w:cs="Arial"/>
        </w:rPr>
        <w:t>autobusů, neboť strojvedoucí nákladního vlaku je chopen přepravit zhruba 50krát větší zátěž než nákladní automobil. Dále dojde k</w:t>
      </w:r>
      <w:r w:rsidR="00CF2351" w:rsidRPr="00B07D79">
        <w:rPr>
          <w:rFonts w:asciiTheme="minorHAnsi" w:hAnsiTheme="minorHAnsi" w:cs="Arial"/>
        </w:rPr>
        <w:t> </w:t>
      </w:r>
      <w:r w:rsidRPr="00B07D79">
        <w:rPr>
          <w:rFonts w:asciiTheme="minorHAnsi" w:hAnsiTheme="minorHAnsi" w:cs="Arial"/>
        </w:rPr>
        <w:t>zásadnímu snížení spotřeby energie zhruba na jednu osminu, neboť naftový automobil má spotřebu 0,240 kWh/netto tkm a</w:t>
      </w:r>
      <w:r w:rsidR="00CF2351" w:rsidRPr="00B07D79">
        <w:rPr>
          <w:rFonts w:asciiTheme="minorHAnsi" w:hAnsiTheme="minorHAnsi" w:cs="Arial"/>
        </w:rPr>
        <w:t> </w:t>
      </w:r>
      <w:r w:rsidRPr="00B07D79">
        <w:rPr>
          <w:rFonts w:asciiTheme="minorHAnsi" w:hAnsiTheme="minorHAnsi" w:cs="Arial"/>
        </w:rPr>
        <w:t>elektrická železnice pouze 0,030 kWh/netto tkm. Již v</w:t>
      </w:r>
      <w:r w:rsidR="00CF2351" w:rsidRPr="00B07D79">
        <w:rPr>
          <w:rFonts w:asciiTheme="minorHAnsi" w:hAnsiTheme="minorHAnsi" w:cs="Arial"/>
        </w:rPr>
        <w:t> </w:t>
      </w:r>
      <w:r w:rsidRPr="00B07D79">
        <w:rPr>
          <w:rFonts w:asciiTheme="minorHAnsi" w:hAnsiTheme="minorHAnsi" w:cs="Arial"/>
        </w:rPr>
        <w:t>současnosti vyřešené liniové elektrické napájení železnic povede k</w:t>
      </w:r>
      <w:r w:rsidR="00CF2351" w:rsidRPr="00B07D79">
        <w:rPr>
          <w:rFonts w:asciiTheme="minorHAnsi" w:hAnsiTheme="minorHAnsi" w:cs="Arial"/>
        </w:rPr>
        <w:t> </w:t>
      </w:r>
      <w:r w:rsidRPr="00B07D79">
        <w:rPr>
          <w:rFonts w:asciiTheme="minorHAnsi" w:hAnsiTheme="minorHAnsi" w:cs="Arial"/>
        </w:rPr>
        <w:t>náhradě importovaných fosilních paliv elektrickou energií zajistitelnou z</w:t>
      </w:r>
      <w:r w:rsidR="00CF2351" w:rsidRPr="00B07D79">
        <w:rPr>
          <w:rFonts w:asciiTheme="minorHAnsi" w:hAnsiTheme="minorHAnsi" w:cs="Arial"/>
        </w:rPr>
        <w:t> </w:t>
      </w:r>
      <w:r w:rsidRPr="00B07D79">
        <w:rPr>
          <w:rFonts w:asciiTheme="minorHAnsi" w:hAnsiTheme="minorHAnsi" w:cs="Arial"/>
        </w:rPr>
        <w:t>obnovitelných zdrojů. Neodmyslitelnou součástí přechodu na železniční dopravu je odstranění emisí oxidu uhličitého, způsobujících nevratné klimatické změny, a</w:t>
      </w:r>
      <w:r w:rsidR="00CF2351" w:rsidRPr="00B07D79">
        <w:rPr>
          <w:rFonts w:asciiTheme="minorHAnsi" w:hAnsiTheme="minorHAnsi" w:cs="Arial"/>
        </w:rPr>
        <w:t> </w:t>
      </w:r>
      <w:r w:rsidRPr="00B07D79">
        <w:rPr>
          <w:rFonts w:asciiTheme="minorHAnsi" w:hAnsiTheme="minorHAnsi" w:cs="Arial"/>
        </w:rPr>
        <w:t xml:space="preserve">odstranění emisí zdraví škodlivých látek </w:t>
      </w:r>
      <w:r w:rsidRPr="00B07D79">
        <w:rPr>
          <w:rFonts w:asciiTheme="minorHAnsi" w:hAnsiTheme="minorHAnsi" w:cs="Arial"/>
        </w:rPr>
        <w:lastRenderedPageBreak/>
        <w:t xml:space="preserve">(oxidy dusíku </w:t>
      </w:r>
      <w:proofErr w:type="spellStart"/>
      <w:r w:rsidRPr="00B07D79">
        <w:rPr>
          <w:rFonts w:asciiTheme="minorHAnsi" w:hAnsiTheme="minorHAnsi" w:cs="Arial"/>
        </w:rPr>
        <w:t>NO</w:t>
      </w:r>
      <w:r w:rsidRPr="00B07D79">
        <w:rPr>
          <w:rFonts w:asciiTheme="minorHAnsi" w:hAnsiTheme="minorHAnsi" w:cs="Arial"/>
          <w:vertAlign w:val="subscript"/>
        </w:rPr>
        <w:t>x</w:t>
      </w:r>
      <w:proofErr w:type="spellEnd"/>
      <w:r w:rsidRPr="00B07D79">
        <w:rPr>
          <w:rFonts w:asciiTheme="minorHAnsi" w:hAnsiTheme="minorHAnsi" w:cs="Arial"/>
        </w:rPr>
        <w:t xml:space="preserve">, </w:t>
      </w:r>
      <w:proofErr w:type="spellStart"/>
      <w:r w:rsidRPr="00B07D79">
        <w:rPr>
          <w:rFonts w:asciiTheme="minorHAnsi" w:hAnsiTheme="minorHAnsi" w:cs="Arial"/>
        </w:rPr>
        <w:t>polyaromatické</w:t>
      </w:r>
      <w:proofErr w:type="spellEnd"/>
      <w:r w:rsidRPr="00B07D79">
        <w:rPr>
          <w:rFonts w:asciiTheme="minorHAnsi" w:hAnsiTheme="minorHAnsi" w:cs="Arial"/>
        </w:rPr>
        <w:t xml:space="preserve"> uhlovodíky PAH, těkavé organické látky VOC, jemné prachové částice PM, …), které poškozují lidské zdraví a</w:t>
      </w:r>
      <w:r w:rsidR="00CF2351" w:rsidRPr="00B07D79">
        <w:rPr>
          <w:rFonts w:asciiTheme="minorHAnsi" w:hAnsiTheme="minorHAnsi" w:cs="Arial"/>
        </w:rPr>
        <w:t> </w:t>
      </w:r>
      <w:r w:rsidRPr="00B07D79">
        <w:rPr>
          <w:rFonts w:asciiTheme="minorHAnsi" w:hAnsiTheme="minorHAnsi" w:cs="Arial"/>
        </w:rPr>
        <w:t>životy více než dopravní nehody.</w:t>
      </w:r>
    </w:p>
    <w:p w14:paraId="6D255814" w14:textId="218528B6"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V ČR je jen minimum vodních cest použitelných pro plavbu (jen 315 km), jde tedy prakticky výhradně o</w:t>
      </w:r>
      <w:r w:rsidR="00CF2351" w:rsidRPr="00B07D79">
        <w:rPr>
          <w:rFonts w:asciiTheme="minorHAnsi" w:hAnsiTheme="minorHAnsi" w:cs="Arial"/>
        </w:rPr>
        <w:t> </w:t>
      </w:r>
      <w:r w:rsidRPr="00B07D79">
        <w:rPr>
          <w:rFonts w:asciiTheme="minorHAnsi" w:hAnsiTheme="minorHAnsi" w:cs="Arial"/>
        </w:rPr>
        <w:t xml:space="preserve">přesun nákladní dopravy ze silnic na železnici. </w:t>
      </w:r>
    </w:p>
    <w:p w14:paraId="26D0D464" w14:textId="355A8B47" w:rsidR="003A7DBF" w:rsidRPr="00B07D79" w:rsidRDefault="00543428" w:rsidP="00B07D79">
      <w:pPr>
        <w:spacing w:line="276" w:lineRule="auto"/>
        <w:jc w:val="both"/>
        <w:rPr>
          <w:rFonts w:asciiTheme="minorHAnsi" w:hAnsiTheme="minorHAnsi" w:cs="Arial"/>
        </w:rPr>
      </w:pPr>
      <w:r w:rsidRPr="00B07D79">
        <w:rPr>
          <w:rFonts w:asciiTheme="minorHAnsi" w:hAnsiTheme="minorHAnsi" w:cs="Arial"/>
        </w:rPr>
        <w:t>V roce 2019 zajišťovala na území ČR nákladní automobilová doprava přeprava přepravní výkon 45 miliard tkm/rok a</w:t>
      </w:r>
      <w:r w:rsidR="00CF2351" w:rsidRPr="00B07D79">
        <w:rPr>
          <w:rFonts w:asciiTheme="minorHAnsi" w:hAnsiTheme="minorHAnsi" w:cs="Arial"/>
        </w:rPr>
        <w:t> </w:t>
      </w:r>
      <w:r w:rsidRPr="00B07D79">
        <w:rPr>
          <w:rFonts w:asciiTheme="minorHAnsi" w:hAnsiTheme="minorHAnsi" w:cs="Arial"/>
        </w:rPr>
        <w:t>nákladní železniční doprava přeprava přepravní výkon 16 miliard netto tkm/rok. Převedení 75 % přepravních výkonů ze silnice na železnici (34 miliard netto tkm/rok) vede v</w:t>
      </w:r>
      <w:r w:rsidR="00CF2351" w:rsidRPr="00B07D79">
        <w:rPr>
          <w:rFonts w:asciiTheme="minorHAnsi" w:hAnsiTheme="minorHAnsi" w:cs="Arial"/>
        </w:rPr>
        <w:t> </w:t>
      </w:r>
      <w:r w:rsidRPr="00B07D79">
        <w:rPr>
          <w:rFonts w:asciiTheme="minorHAnsi" w:hAnsiTheme="minorHAnsi" w:cs="Arial"/>
        </w:rPr>
        <w:t>souhrnu k</w:t>
      </w:r>
      <w:r w:rsidR="00CF2351" w:rsidRPr="00B07D79">
        <w:rPr>
          <w:rFonts w:asciiTheme="minorHAnsi" w:hAnsiTheme="minorHAnsi" w:cs="Arial"/>
        </w:rPr>
        <w:t> </w:t>
      </w:r>
      <w:r w:rsidRPr="00B07D79">
        <w:rPr>
          <w:rFonts w:asciiTheme="minorHAnsi" w:hAnsiTheme="minorHAnsi" w:cs="Arial"/>
        </w:rPr>
        <w:t>zatížení železnice přepravním výkonem 50 miliard netto tkm/rok, což je více než trojnásobek vůči referenčnímu roku 2019 (viz obr. níže).</w:t>
      </w:r>
    </w:p>
    <w:p w14:paraId="7C52CF21" w14:textId="2D420B30" w:rsidR="003A7DBF" w:rsidRPr="005E2F84" w:rsidRDefault="003A7DBF" w:rsidP="00B07D79">
      <w:pPr>
        <w:spacing w:line="276" w:lineRule="auto"/>
        <w:jc w:val="both"/>
        <w:rPr>
          <w:rFonts w:asciiTheme="minorHAnsi" w:hAnsiTheme="minorHAnsi" w:cs="Arial"/>
          <w:color w:val="385623" w:themeColor="accent6" w:themeShade="80"/>
        </w:rPr>
      </w:pPr>
      <w:r w:rsidRPr="005E2F84">
        <w:rPr>
          <w:rFonts w:asciiTheme="minorHAnsi" w:hAnsiTheme="minorHAnsi" w:cs="Arial"/>
          <w:color w:val="385623" w:themeColor="accent6" w:themeShade="80"/>
        </w:rPr>
        <w:t>Obrázek 6 Převedení 75 % přepravních výkonů nákladní dopravy ze silnic na železnici</w:t>
      </w:r>
    </w:p>
    <w:p w14:paraId="3946C89E" w14:textId="05FD64F6"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noProof/>
        </w:rPr>
        <w:drawing>
          <wp:inline distT="0" distB="0" distL="0" distR="0" wp14:anchorId="5E5AB8BA" wp14:editId="6AFF6296">
            <wp:extent cx="5581497" cy="3815532"/>
            <wp:effectExtent l="0" t="0" r="63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2313" cy="3822926"/>
                    </a:xfrm>
                    <a:prstGeom prst="rect">
                      <a:avLst/>
                    </a:prstGeom>
                  </pic:spPr>
                </pic:pic>
              </a:graphicData>
            </a:graphic>
          </wp:inline>
        </w:drawing>
      </w:r>
    </w:p>
    <w:p w14:paraId="5632A23C" w14:textId="186F4641"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Jakkoliv je všeobecně vnímáno, že železnice v</w:t>
      </w:r>
      <w:r w:rsidR="00CF2351" w:rsidRPr="00B07D79">
        <w:rPr>
          <w:rFonts w:asciiTheme="minorHAnsi" w:hAnsiTheme="minorHAnsi" w:cs="Arial"/>
        </w:rPr>
        <w:t> </w:t>
      </w:r>
      <w:r w:rsidRPr="00B07D79">
        <w:rPr>
          <w:rFonts w:asciiTheme="minorHAnsi" w:hAnsiTheme="minorHAnsi" w:cs="Arial"/>
        </w:rPr>
        <w:t>ČR je přetížena nákladní dopravou, není tomu tak. Střední přepravní tok nákladní železniční dopravy (podíl přepravného výkonu nákladní železniční dopravy a</w:t>
      </w:r>
      <w:r w:rsidR="00CF2351" w:rsidRPr="00B07D79">
        <w:rPr>
          <w:rFonts w:asciiTheme="minorHAnsi" w:hAnsiTheme="minorHAnsi" w:cs="Arial"/>
        </w:rPr>
        <w:t> </w:t>
      </w:r>
      <w:r w:rsidRPr="00B07D79">
        <w:rPr>
          <w:rFonts w:asciiTheme="minorHAnsi" w:hAnsiTheme="minorHAnsi" w:cs="Arial"/>
        </w:rPr>
        <w:t>délky železniční sítě) v</w:t>
      </w:r>
      <w:r w:rsidR="00CF2351" w:rsidRPr="00B07D79">
        <w:rPr>
          <w:rFonts w:asciiTheme="minorHAnsi" w:hAnsiTheme="minorHAnsi" w:cs="Arial"/>
        </w:rPr>
        <w:t> </w:t>
      </w:r>
      <w:r w:rsidRPr="00B07D79">
        <w:rPr>
          <w:rFonts w:asciiTheme="minorHAnsi" w:hAnsiTheme="minorHAnsi" w:cs="Arial"/>
        </w:rPr>
        <w:t xml:space="preserve">úrovni 4 600 netto t/den je na poloviční úrovni vůči sousedním zemím (AT, DE, PL, SK) – viz obr. </w:t>
      </w:r>
      <w:r w:rsidR="003A7DBF" w:rsidRPr="00B07D79">
        <w:rPr>
          <w:rFonts w:asciiTheme="minorHAnsi" w:hAnsiTheme="minorHAnsi" w:cs="Arial"/>
        </w:rPr>
        <w:t>7</w:t>
      </w:r>
      <w:r w:rsidRPr="00B07D79">
        <w:rPr>
          <w:rFonts w:asciiTheme="minorHAnsi" w:hAnsiTheme="minorHAnsi" w:cs="Arial"/>
        </w:rPr>
        <w:t>.</w:t>
      </w:r>
    </w:p>
    <w:p w14:paraId="6F86C544" w14:textId="4D644DA2"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Železniční síť v</w:t>
      </w:r>
      <w:r w:rsidR="00CF2351" w:rsidRPr="00B07D79">
        <w:rPr>
          <w:rFonts w:asciiTheme="minorHAnsi" w:hAnsiTheme="minorHAnsi" w:cs="Arial"/>
        </w:rPr>
        <w:t> </w:t>
      </w:r>
      <w:r w:rsidRPr="00B07D79">
        <w:rPr>
          <w:rFonts w:asciiTheme="minorHAnsi" w:hAnsiTheme="minorHAnsi" w:cs="Arial"/>
        </w:rPr>
        <w:t xml:space="preserve">ČR je totiž nákladní dopravou zatížena velmi nerovnoměrně. 90 % přepravního výkonu nákladní železniční dopravy zajišťuje 20 % délky železniční sítě, zbylých 80 % železniční sítě zajišťuje jen 10 % přepravního výkonu nákladní železniční dopravy, tedy je prakticky bez nákladní dopravy (viz obr. níže). </w:t>
      </w:r>
    </w:p>
    <w:p w14:paraId="50E9C337" w14:textId="0C2EF1B3" w:rsidR="003A7DBF" w:rsidRDefault="003A7DBF" w:rsidP="00B07D79">
      <w:pPr>
        <w:spacing w:line="276" w:lineRule="auto"/>
        <w:jc w:val="both"/>
        <w:rPr>
          <w:rFonts w:asciiTheme="minorHAnsi" w:hAnsiTheme="minorHAnsi" w:cs="Arial"/>
        </w:rPr>
      </w:pPr>
    </w:p>
    <w:p w14:paraId="7FFB1945" w14:textId="5F056393" w:rsidR="005E2F84" w:rsidRDefault="005E2F84" w:rsidP="00B07D79">
      <w:pPr>
        <w:spacing w:line="276" w:lineRule="auto"/>
        <w:jc w:val="both"/>
        <w:rPr>
          <w:rFonts w:asciiTheme="minorHAnsi" w:hAnsiTheme="minorHAnsi" w:cs="Arial"/>
        </w:rPr>
      </w:pPr>
    </w:p>
    <w:p w14:paraId="6CC9F3D0" w14:textId="77777777" w:rsidR="005E2F84" w:rsidRPr="00B07D79" w:rsidRDefault="005E2F84" w:rsidP="00B07D79">
      <w:pPr>
        <w:spacing w:line="276" w:lineRule="auto"/>
        <w:jc w:val="both"/>
        <w:rPr>
          <w:rFonts w:asciiTheme="minorHAnsi" w:hAnsiTheme="minorHAnsi" w:cs="Arial"/>
        </w:rPr>
      </w:pPr>
    </w:p>
    <w:p w14:paraId="157F7C63" w14:textId="6A9E8B5B" w:rsidR="003A7DBF" w:rsidRPr="00B07D79" w:rsidRDefault="003A7DBF" w:rsidP="00B07D79">
      <w:pPr>
        <w:spacing w:line="276" w:lineRule="auto"/>
        <w:jc w:val="both"/>
        <w:rPr>
          <w:rFonts w:asciiTheme="minorHAnsi" w:hAnsiTheme="minorHAnsi" w:cs="Arial"/>
          <w:color w:val="385623" w:themeColor="accent6" w:themeShade="80"/>
        </w:rPr>
      </w:pPr>
      <w:r w:rsidRPr="00B07D79">
        <w:rPr>
          <w:rFonts w:asciiTheme="minorHAnsi" w:hAnsiTheme="minorHAnsi" w:cs="Arial"/>
          <w:color w:val="385623" w:themeColor="accent6" w:themeShade="80"/>
        </w:rPr>
        <w:lastRenderedPageBreak/>
        <w:t>Obrázek 7 Zatížení železniční sítě v roce 2019</w:t>
      </w:r>
    </w:p>
    <w:p w14:paraId="204AAA01" w14:textId="49E0AEB6" w:rsidR="00543428" w:rsidRPr="00B07D79" w:rsidRDefault="00543428" w:rsidP="00B07D79">
      <w:pPr>
        <w:spacing w:line="276" w:lineRule="auto"/>
        <w:jc w:val="both"/>
        <w:rPr>
          <w:rFonts w:asciiTheme="minorHAnsi" w:hAnsiTheme="minorHAnsi" w:cs="Arial"/>
        </w:rPr>
      </w:pPr>
      <w:r w:rsidRPr="00B07D79">
        <w:rPr>
          <w:rFonts w:asciiTheme="minorHAnsi" w:hAnsiTheme="minorHAnsi"/>
          <w:noProof/>
        </w:rPr>
        <w:drawing>
          <wp:inline distT="0" distB="0" distL="0" distR="0" wp14:anchorId="596D99F3" wp14:editId="62760688">
            <wp:extent cx="5859475" cy="3431978"/>
            <wp:effectExtent l="0" t="0" r="825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1385" cy="3438954"/>
                    </a:xfrm>
                    <a:prstGeom prst="rect">
                      <a:avLst/>
                    </a:prstGeom>
                  </pic:spPr>
                </pic:pic>
              </a:graphicData>
            </a:graphic>
          </wp:inline>
        </w:drawing>
      </w:r>
    </w:p>
    <w:p w14:paraId="6B68BC35" w14:textId="7FE6EAB3"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Stojí za povšimnutí, že 95,5 % dopravních výkonů nákladní dopravy v</w:t>
      </w:r>
      <w:r w:rsidR="00CF2351" w:rsidRPr="00B07D79">
        <w:rPr>
          <w:rFonts w:asciiTheme="minorHAnsi" w:hAnsiTheme="minorHAnsi" w:cs="Arial"/>
        </w:rPr>
        <w:t> </w:t>
      </w:r>
      <w:r w:rsidRPr="00B07D79">
        <w:rPr>
          <w:rFonts w:asciiTheme="minorHAnsi" w:hAnsiTheme="minorHAnsi" w:cs="Arial"/>
        </w:rPr>
        <w:t>ČR vykonávají elektrizované tratě (34 % délky sítě), zbývající dvě třetiny železniční sítě jsou prakticky bez nákladní dopravy. Využití neelektrizovaných tratí nákladní dopravou</w:t>
      </w:r>
      <w:r w:rsidRPr="00B07D79">
        <w:rPr>
          <w:rStyle w:val="Znakapoznpodarou"/>
          <w:rFonts w:asciiTheme="minorHAnsi" w:hAnsiTheme="minorHAnsi" w:cs="Arial"/>
        </w:rPr>
        <w:footnoteReference w:id="20"/>
      </w:r>
      <w:r w:rsidRPr="00B07D79">
        <w:rPr>
          <w:rFonts w:asciiTheme="minorHAnsi" w:hAnsiTheme="minorHAnsi" w:cs="Arial"/>
        </w:rPr>
        <w:t xml:space="preserve"> je čtyřicetkrát nižší, než využití elektrizovaných tratí nákladní dopravou</w:t>
      </w:r>
      <w:r w:rsidRPr="00B07D79">
        <w:rPr>
          <w:rStyle w:val="Znakapoznpodarou"/>
          <w:rFonts w:asciiTheme="minorHAnsi" w:hAnsiTheme="minorHAnsi" w:cs="Arial"/>
        </w:rPr>
        <w:footnoteReference w:id="21"/>
      </w:r>
      <w:r w:rsidRPr="00B07D79">
        <w:rPr>
          <w:rFonts w:asciiTheme="minorHAnsi" w:hAnsiTheme="minorHAnsi" w:cs="Arial"/>
        </w:rPr>
        <w:t xml:space="preserve"> (viz obr. </w:t>
      </w:r>
      <w:r w:rsidR="003A7DBF" w:rsidRPr="00B07D79">
        <w:rPr>
          <w:rFonts w:asciiTheme="minorHAnsi" w:hAnsiTheme="minorHAnsi" w:cs="Arial"/>
        </w:rPr>
        <w:t>8</w:t>
      </w:r>
      <w:r w:rsidRPr="00B07D79">
        <w:rPr>
          <w:rFonts w:asciiTheme="minorHAnsi" w:hAnsiTheme="minorHAnsi" w:cs="Arial"/>
        </w:rPr>
        <w:t xml:space="preserve"> níže). Tato skutečnost souvisí s</w:t>
      </w:r>
      <w:r w:rsidR="00CF2351" w:rsidRPr="00B07D79">
        <w:rPr>
          <w:rFonts w:asciiTheme="minorHAnsi" w:hAnsiTheme="minorHAnsi" w:cs="Arial"/>
        </w:rPr>
        <w:t> </w:t>
      </w:r>
      <w:r w:rsidRPr="00B07D79">
        <w:rPr>
          <w:rFonts w:asciiTheme="minorHAnsi" w:hAnsiTheme="minorHAnsi" w:cs="Arial"/>
        </w:rPr>
        <w:t>růstem investičních a</w:t>
      </w:r>
      <w:r w:rsidR="00CF2351" w:rsidRPr="00B07D79">
        <w:rPr>
          <w:rFonts w:asciiTheme="minorHAnsi" w:hAnsiTheme="minorHAnsi" w:cs="Arial"/>
        </w:rPr>
        <w:t> </w:t>
      </w:r>
      <w:r w:rsidRPr="00B07D79">
        <w:rPr>
          <w:rFonts w:asciiTheme="minorHAnsi" w:hAnsiTheme="minorHAnsi" w:cs="Arial"/>
        </w:rPr>
        <w:t>provozních nákladů vozidel, a</w:t>
      </w:r>
      <w:r w:rsidR="00CF2351" w:rsidRPr="00B07D79">
        <w:rPr>
          <w:rFonts w:asciiTheme="minorHAnsi" w:hAnsiTheme="minorHAnsi" w:cs="Arial"/>
        </w:rPr>
        <w:t> </w:t>
      </w:r>
      <w:r w:rsidRPr="00B07D79">
        <w:rPr>
          <w:rFonts w:asciiTheme="minorHAnsi" w:hAnsiTheme="minorHAnsi" w:cs="Arial"/>
        </w:rPr>
        <w:t>to výměnou elektrické lokomotivy za</w:t>
      </w:r>
      <w:r w:rsidR="00F819FC" w:rsidRPr="00B07D79">
        <w:rPr>
          <w:rFonts w:asciiTheme="minorHAnsi" w:hAnsiTheme="minorHAnsi" w:cs="Arial"/>
        </w:rPr>
        <w:t> </w:t>
      </w:r>
      <w:r w:rsidRPr="00B07D79">
        <w:rPr>
          <w:rFonts w:asciiTheme="minorHAnsi" w:hAnsiTheme="minorHAnsi" w:cs="Arial"/>
        </w:rPr>
        <w:t>naftovou se zvyšují dopravní náklady natolik, že dopravce není schopen nabídnout přepravci jím akceptovatelnou cenu a</w:t>
      </w:r>
      <w:r w:rsidR="00CF2351" w:rsidRPr="00B07D79">
        <w:rPr>
          <w:rFonts w:asciiTheme="minorHAnsi" w:hAnsiTheme="minorHAnsi" w:cs="Arial"/>
        </w:rPr>
        <w:t> </w:t>
      </w:r>
      <w:r w:rsidRPr="00B07D79">
        <w:rPr>
          <w:rFonts w:asciiTheme="minorHAnsi" w:hAnsiTheme="minorHAnsi" w:cs="Arial"/>
        </w:rPr>
        <w:t>přeprava není realizována po železnici, ale po silnici. Zde je jedná o</w:t>
      </w:r>
      <w:r w:rsidR="00CF2351" w:rsidRPr="00B07D79">
        <w:rPr>
          <w:rFonts w:asciiTheme="minorHAnsi" w:hAnsiTheme="minorHAnsi" w:cs="Arial"/>
        </w:rPr>
        <w:t> </w:t>
      </w:r>
      <w:r w:rsidRPr="00B07D79">
        <w:rPr>
          <w:rFonts w:asciiTheme="minorHAnsi" w:hAnsiTheme="minorHAnsi" w:cs="Arial"/>
        </w:rPr>
        <w:t>problematiku první a</w:t>
      </w:r>
      <w:r w:rsidR="00CF2351" w:rsidRPr="00B07D79">
        <w:rPr>
          <w:rFonts w:asciiTheme="minorHAnsi" w:hAnsiTheme="minorHAnsi" w:cs="Arial"/>
        </w:rPr>
        <w:t> </w:t>
      </w:r>
      <w:r w:rsidRPr="00B07D79">
        <w:rPr>
          <w:rFonts w:asciiTheme="minorHAnsi" w:hAnsiTheme="minorHAnsi" w:cs="Arial"/>
        </w:rPr>
        <w:t>poslední míle, kdy železnice by byla schopna zajistit převážnou část přepravy, ale nedokáže nabídnout přepravu na konečných úsecích trasy. Zde je nutné změna technologie ale především spolupráce se silniční dopravou, která je schopna zajistit první a</w:t>
      </w:r>
      <w:r w:rsidR="00CF2351" w:rsidRPr="00B07D79">
        <w:rPr>
          <w:rFonts w:asciiTheme="minorHAnsi" w:hAnsiTheme="minorHAnsi" w:cs="Arial"/>
        </w:rPr>
        <w:t> </w:t>
      </w:r>
      <w:r w:rsidRPr="00B07D79">
        <w:rPr>
          <w:rFonts w:asciiTheme="minorHAnsi" w:hAnsiTheme="minorHAnsi" w:cs="Arial"/>
        </w:rPr>
        <w:t>poslední míli s</w:t>
      </w:r>
      <w:r w:rsidR="00CF2351" w:rsidRPr="00B07D79">
        <w:rPr>
          <w:rFonts w:asciiTheme="minorHAnsi" w:hAnsiTheme="minorHAnsi" w:cs="Arial"/>
        </w:rPr>
        <w:t> </w:t>
      </w:r>
      <w:r w:rsidRPr="00B07D79">
        <w:rPr>
          <w:rFonts w:asciiTheme="minorHAnsi" w:hAnsiTheme="minorHAnsi" w:cs="Arial"/>
        </w:rPr>
        <w:t>elektrickým automobilem, který udrží energetickou a</w:t>
      </w:r>
      <w:r w:rsidR="00CF2351" w:rsidRPr="00B07D79">
        <w:rPr>
          <w:rFonts w:asciiTheme="minorHAnsi" w:hAnsiTheme="minorHAnsi" w:cs="Arial"/>
        </w:rPr>
        <w:t> </w:t>
      </w:r>
      <w:r w:rsidRPr="00B07D79">
        <w:rPr>
          <w:rFonts w:asciiTheme="minorHAnsi" w:hAnsiTheme="minorHAnsi" w:cs="Arial"/>
        </w:rPr>
        <w:t>ekologickou zátěž na minimálních hodnotách stejně jako elektrická železnice.</w:t>
      </w:r>
    </w:p>
    <w:p w14:paraId="0C7F30CF" w14:textId="1A9B649B" w:rsidR="003A7DBF" w:rsidRDefault="003A7DBF" w:rsidP="00B07D79">
      <w:pPr>
        <w:spacing w:line="276" w:lineRule="auto"/>
        <w:jc w:val="both"/>
        <w:rPr>
          <w:rFonts w:asciiTheme="minorHAnsi" w:hAnsiTheme="minorHAnsi" w:cs="Arial"/>
        </w:rPr>
      </w:pPr>
    </w:p>
    <w:p w14:paraId="566F5377" w14:textId="07E1EF2D" w:rsidR="005E2F84" w:rsidRDefault="005E2F84" w:rsidP="00B07D79">
      <w:pPr>
        <w:spacing w:line="276" w:lineRule="auto"/>
        <w:jc w:val="both"/>
        <w:rPr>
          <w:rFonts w:asciiTheme="minorHAnsi" w:hAnsiTheme="minorHAnsi" w:cs="Arial"/>
        </w:rPr>
      </w:pPr>
    </w:p>
    <w:p w14:paraId="01A136E4" w14:textId="20C37C62" w:rsidR="005E2F84" w:rsidRDefault="005E2F84" w:rsidP="00B07D79">
      <w:pPr>
        <w:spacing w:line="276" w:lineRule="auto"/>
        <w:jc w:val="both"/>
        <w:rPr>
          <w:rFonts w:asciiTheme="minorHAnsi" w:hAnsiTheme="minorHAnsi" w:cs="Arial"/>
        </w:rPr>
      </w:pPr>
    </w:p>
    <w:p w14:paraId="06876DE2" w14:textId="148F3183" w:rsidR="005E2F84" w:rsidRDefault="005E2F84" w:rsidP="00B07D79">
      <w:pPr>
        <w:spacing w:line="276" w:lineRule="auto"/>
        <w:jc w:val="both"/>
        <w:rPr>
          <w:rFonts w:asciiTheme="minorHAnsi" w:hAnsiTheme="minorHAnsi" w:cs="Arial"/>
        </w:rPr>
      </w:pPr>
    </w:p>
    <w:p w14:paraId="546B2579" w14:textId="2D8981F7" w:rsidR="005E2F84" w:rsidRDefault="005E2F84" w:rsidP="00B07D79">
      <w:pPr>
        <w:spacing w:line="276" w:lineRule="auto"/>
        <w:jc w:val="both"/>
        <w:rPr>
          <w:rFonts w:asciiTheme="minorHAnsi" w:hAnsiTheme="minorHAnsi" w:cs="Arial"/>
        </w:rPr>
      </w:pPr>
    </w:p>
    <w:p w14:paraId="0F4BAB36" w14:textId="64F3FF39" w:rsidR="005E2F84" w:rsidRDefault="005E2F84" w:rsidP="00B07D79">
      <w:pPr>
        <w:spacing w:line="276" w:lineRule="auto"/>
        <w:jc w:val="both"/>
        <w:rPr>
          <w:rFonts w:asciiTheme="minorHAnsi" w:hAnsiTheme="minorHAnsi" w:cs="Arial"/>
        </w:rPr>
      </w:pPr>
    </w:p>
    <w:p w14:paraId="7F9307EB" w14:textId="77777777" w:rsidR="005E2F84" w:rsidRPr="00B07D79" w:rsidRDefault="005E2F84" w:rsidP="00B07D79">
      <w:pPr>
        <w:spacing w:line="276" w:lineRule="auto"/>
        <w:jc w:val="both"/>
        <w:rPr>
          <w:rFonts w:asciiTheme="minorHAnsi" w:hAnsiTheme="minorHAnsi" w:cs="Arial"/>
        </w:rPr>
      </w:pPr>
    </w:p>
    <w:p w14:paraId="00DCB6B2" w14:textId="42363AC8" w:rsidR="003A7DBF" w:rsidRPr="00B07D79" w:rsidRDefault="003A7DBF" w:rsidP="00B07D79">
      <w:pPr>
        <w:spacing w:line="276" w:lineRule="auto"/>
        <w:jc w:val="both"/>
        <w:rPr>
          <w:rFonts w:asciiTheme="minorHAnsi" w:hAnsiTheme="minorHAnsi" w:cs="Arial"/>
          <w:color w:val="385623" w:themeColor="accent6" w:themeShade="80"/>
        </w:rPr>
      </w:pPr>
      <w:r w:rsidRPr="00B07D79">
        <w:rPr>
          <w:rFonts w:asciiTheme="minorHAnsi" w:hAnsiTheme="minorHAnsi" w:cs="Arial"/>
          <w:color w:val="385623" w:themeColor="accent6" w:themeShade="80"/>
        </w:rPr>
        <w:lastRenderedPageBreak/>
        <w:t>Obrázek 8 Dopravní výkony železniční nákladní dopravy</w:t>
      </w:r>
    </w:p>
    <w:p w14:paraId="2C0920E9" w14:textId="15435BFE" w:rsidR="00543428" w:rsidRPr="00B07D79" w:rsidRDefault="00543428" w:rsidP="00B07D79">
      <w:pPr>
        <w:spacing w:line="276" w:lineRule="auto"/>
        <w:jc w:val="both"/>
        <w:rPr>
          <w:rFonts w:asciiTheme="minorHAnsi" w:hAnsiTheme="minorHAnsi" w:cs="Arial"/>
        </w:rPr>
      </w:pPr>
      <w:r w:rsidRPr="00B07D79">
        <w:rPr>
          <w:rFonts w:asciiTheme="minorHAnsi" w:hAnsiTheme="minorHAnsi"/>
          <w:noProof/>
        </w:rPr>
        <w:drawing>
          <wp:inline distT="0" distB="0" distL="0" distR="0" wp14:anchorId="5CB7EC12" wp14:editId="64E57AED">
            <wp:extent cx="3708806" cy="2506705"/>
            <wp:effectExtent l="0" t="0" r="635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045" cy="2535929"/>
                    </a:xfrm>
                    <a:prstGeom prst="rect">
                      <a:avLst/>
                    </a:prstGeom>
                  </pic:spPr>
                </pic:pic>
              </a:graphicData>
            </a:graphic>
          </wp:inline>
        </w:drawing>
      </w:r>
    </w:p>
    <w:p w14:paraId="1C1772F6" w14:textId="4AA1FB11" w:rsidR="005E2F84" w:rsidRPr="00B07D79" w:rsidRDefault="00543428" w:rsidP="00B07D79">
      <w:pPr>
        <w:spacing w:line="276" w:lineRule="auto"/>
        <w:jc w:val="both"/>
        <w:rPr>
          <w:rFonts w:asciiTheme="minorHAnsi" w:hAnsiTheme="minorHAnsi" w:cs="Arial"/>
          <w:iCs/>
        </w:rPr>
      </w:pPr>
      <w:r w:rsidRPr="00B07D79">
        <w:rPr>
          <w:rFonts w:asciiTheme="minorHAnsi" w:hAnsiTheme="minorHAnsi" w:cs="Arial"/>
        </w:rPr>
        <w:t>Zahrnutí jednotlivých železničních tratí do systému vlakového provozu nákladní železniční dopravy je v</w:t>
      </w:r>
      <w:r w:rsidR="00CF2351" w:rsidRPr="00B07D79">
        <w:rPr>
          <w:rFonts w:asciiTheme="minorHAnsi" w:hAnsiTheme="minorHAnsi" w:cs="Arial"/>
        </w:rPr>
        <w:t> </w:t>
      </w:r>
      <w:r w:rsidRPr="00B07D79">
        <w:rPr>
          <w:rFonts w:asciiTheme="minorHAnsi" w:hAnsiTheme="minorHAnsi" w:cs="Arial"/>
        </w:rPr>
        <w:t xml:space="preserve">zásadě podmíněno jejich liniovou elektrizací. (viz obr. níže). </w:t>
      </w:r>
      <w:r w:rsidRPr="00B07D79">
        <w:rPr>
          <w:rFonts w:asciiTheme="minorHAnsi" w:hAnsiTheme="minorHAnsi" w:cs="Arial"/>
          <w:iCs/>
        </w:rPr>
        <w:t>Existuje silná korelace mezi mírou elektrizace železniční sítě a</w:t>
      </w:r>
      <w:r w:rsidR="00CF2351" w:rsidRPr="00B07D79">
        <w:rPr>
          <w:rFonts w:asciiTheme="minorHAnsi" w:hAnsiTheme="minorHAnsi" w:cs="Arial"/>
          <w:iCs/>
        </w:rPr>
        <w:t> </w:t>
      </w:r>
      <w:r w:rsidRPr="00B07D79">
        <w:rPr>
          <w:rFonts w:asciiTheme="minorHAnsi" w:hAnsiTheme="minorHAnsi" w:cs="Arial"/>
          <w:iCs/>
        </w:rPr>
        <w:t>středním zatížení železniční sítě nákladní dopravou. Elektrizací se železniční tratě více zapojují do plnění úloh nákladní dopravy.</w:t>
      </w:r>
    </w:p>
    <w:p w14:paraId="0B0A5862" w14:textId="07E50720" w:rsidR="003A7DBF" w:rsidRPr="009D0E24" w:rsidRDefault="003A7DBF" w:rsidP="00B07D79">
      <w:pPr>
        <w:spacing w:line="276" w:lineRule="auto"/>
        <w:jc w:val="both"/>
        <w:rPr>
          <w:rFonts w:asciiTheme="minorHAnsi" w:hAnsiTheme="minorHAnsi" w:cs="Arial"/>
          <w:iCs/>
          <w:color w:val="385623" w:themeColor="accent6" w:themeShade="80"/>
        </w:rPr>
      </w:pPr>
      <w:r w:rsidRPr="009D0E24">
        <w:rPr>
          <w:rFonts w:asciiTheme="minorHAnsi" w:hAnsiTheme="minorHAnsi" w:cs="Arial"/>
          <w:iCs/>
          <w:color w:val="385623" w:themeColor="accent6" w:themeShade="80"/>
        </w:rPr>
        <w:t>Obrázek 9 Závislost zatížení železniční sítě nákladní přepravou na míře elektrifikace</w:t>
      </w:r>
    </w:p>
    <w:p w14:paraId="3FFA5623" w14:textId="49ED322D" w:rsidR="00543428" w:rsidRPr="00B07D79" w:rsidRDefault="00543428" w:rsidP="00B07D79">
      <w:pPr>
        <w:spacing w:line="276" w:lineRule="auto"/>
        <w:jc w:val="both"/>
        <w:rPr>
          <w:rFonts w:asciiTheme="minorHAnsi" w:hAnsiTheme="minorHAnsi" w:cs="Arial"/>
        </w:rPr>
      </w:pPr>
      <w:r w:rsidRPr="00B07D79">
        <w:rPr>
          <w:rFonts w:asciiTheme="minorHAnsi" w:hAnsiTheme="minorHAnsi"/>
          <w:noProof/>
        </w:rPr>
        <w:drawing>
          <wp:inline distT="0" distB="0" distL="0" distR="0" wp14:anchorId="16E864DB" wp14:editId="52A9C909">
            <wp:extent cx="3811219" cy="2889825"/>
            <wp:effectExtent l="0" t="0" r="0" b="635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7763" cy="2902369"/>
                    </a:xfrm>
                    <a:prstGeom prst="rect">
                      <a:avLst/>
                    </a:prstGeom>
                  </pic:spPr>
                </pic:pic>
              </a:graphicData>
            </a:graphic>
          </wp:inline>
        </w:drawing>
      </w:r>
    </w:p>
    <w:p w14:paraId="01C74D91" w14:textId="793984C1"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Trend zvýšit tempo rozvoje elektrizace železnic pro potřeby dálkové osobní dopravy, regionální osobní dopravy i</w:t>
      </w:r>
      <w:r w:rsidR="00CF2351" w:rsidRPr="00B07D79">
        <w:rPr>
          <w:rFonts w:asciiTheme="minorHAnsi" w:hAnsiTheme="minorHAnsi" w:cs="Arial"/>
        </w:rPr>
        <w:t> </w:t>
      </w:r>
      <w:r w:rsidRPr="00B07D79">
        <w:rPr>
          <w:rFonts w:asciiTheme="minorHAnsi" w:hAnsiTheme="minorHAnsi" w:cs="Arial"/>
        </w:rPr>
        <w:t>nákladní dopravy je velmi potřebný. Je nutné zvýšit intenzitu celkové modernizace železničních tratí včetně jejich liniové elektrizace, a</w:t>
      </w:r>
      <w:r w:rsidR="00CF2351" w:rsidRPr="00B07D79">
        <w:rPr>
          <w:rFonts w:asciiTheme="minorHAnsi" w:hAnsiTheme="minorHAnsi" w:cs="Arial"/>
        </w:rPr>
        <w:t> </w:t>
      </w:r>
      <w:r w:rsidRPr="00B07D79">
        <w:rPr>
          <w:rFonts w:asciiTheme="minorHAnsi" w:hAnsiTheme="minorHAnsi" w:cs="Arial"/>
        </w:rPr>
        <w:t>to budování již výhradně s</w:t>
      </w:r>
      <w:r w:rsidR="00CF2351" w:rsidRPr="00B07D79">
        <w:rPr>
          <w:rFonts w:asciiTheme="minorHAnsi" w:hAnsiTheme="minorHAnsi" w:cs="Arial"/>
        </w:rPr>
        <w:t> </w:t>
      </w:r>
      <w:r w:rsidRPr="00B07D79">
        <w:rPr>
          <w:rFonts w:asciiTheme="minorHAnsi" w:hAnsiTheme="minorHAnsi" w:cs="Arial"/>
        </w:rPr>
        <w:t>jednotným systémem 25 kV. Efektivní řešením je také uplatněním principu prosté elektrizace. V</w:t>
      </w:r>
      <w:r w:rsidR="00CF2351" w:rsidRPr="00B07D79">
        <w:rPr>
          <w:rFonts w:asciiTheme="minorHAnsi" w:hAnsiTheme="minorHAnsi" w:cs="Arial"/>
        </w:rPr>
        <w:t> </w:t>
      </w:r>
      <w:r w:rsidRPr="00B07D79">
        <w:rPr>
          <w:rFonts w:asciiTheme="minorHAnsi" w:hAnsiTheme="minorHAnsi" w:cs="Arial"/>
        </w:rPr>
        <w:t>neposlední řadě je nutné provést konverzi málo výkonného stejnosměrného napájecího systému 3 kV na již elektrizovaných železničních tratích na výkonnější střídavý napájecí systém 25 kV. Vyšší přenosová schopnost střídavého napájecího systému 25 kV umožňuje snadno a</w:t>
      </w:r>
      <w:r w:rsidR="00CF2351" w:rsidRPr="00B07D79">
        <w:rPr>
          <w:rFonts w:asciiTheme="minorHAnsi" w:hAnsiTheme="minorHAnsi" w:cs="Arial"/>
        </w:rPr>
        <w:t> </w:t>
      </w:r>
      <w:r w:rsidRPr="00B07D79">
        <w:rPr>
          <w:rFonts w:asciiTheme="minorHAnsi" w:hAnsiTheme="minorHAnsi" w:cs="Arial"/>
        </w:rPr>
        <w:t>levně elektrizovat odbočné tratě z</w:t>
      </w:r>
      <w:r w:rsidR="00CF2351" w:rsidRPr="00B07D79">
        <w:rPr>
          <w:rFonts w:asciiTheme="minorHAnsi" w:hAnsiTheme="minorHAnsi" w:cs="Arial"/>
        </w:rPr>
        <w:t> </w:t>
      </w:r>
      <w:r w:rsidRPr="00B07D79">
        <w:rPr>
          <w:rFonts w:asciiTheme="minorHAnsi" w:hAnsiTheme="minorHAnsi" w:cs="Arial"/>
        </w:rPr>
        <w:t xml:space="preserve">hlavních </w:t>
      </w:r>
      <w:r w:rsidRPr="00B07D79">
        <w:rPr>
          <w:rFonts w:asciiTheme="minorHAnsi" w:hAnsiTheme="minorHAnsi" w:cs="Arial"/>
        </w:rPr>
        <w:lastRenderedPageBreak/>
        <w:t>elektrizovaných tratí do vzdálenosti zhruba 50 km pouhou výstavbou trakčního vedení s</w:t>
      </w:r>
      <w:r w:rsidR="00CF2351" w:rsidRPr="00B07D79">
        <w:rPr>
          <w:rFonts w:asciiTheme="minorHAnsi" w:hAnsiTheme="minorHAnsi" w:cs="Arial"/>
        </w:rPr>
        <w:t> </w:t>
      </w:r>
      <w:r w:rsidRPr="00B07D79">
        <w:rPr>
          <w:rFonts w:asciiTheme="minorHAnsi" w:hAnsiTheme="minorHAnsi" w:cs="Arial"/>
        </w:rPr>
        <w:t xml:space="preserve">využitím již existujících trakčních napájecích stanic, tzn. bez potřeby budovat nové trakční napájecí stanice.    </w:t>
      </w:r>
    </w:p>
    <w:p w14:paraId="55F766C7" w14:textId="15E8D2D5" w:rsidR="00543428" w:rsidRPr="00B07D79" w:rsidRDefault="00543428" w:rsidP="00B07D79">
      <w:pPr>
        <w:spacing w:line="276" w:lineRule="auto"/>
        <w:jc w:val="both"/>
        <w:rPr>
          <w:rFonts w:asciiTheme="minorHAnsi" w:hAnsiTheme="minorHAnsi" w:cs="Arial"/>
        </w:rPr>
      </w:pPr>
      <w:r w:rsidRPr="00B07D79">
        <w:rPr>
          <w:rFonts w:asciiTheme="minorHAnsi" w:hAnsiTheme="minorHAnsi" w:cs="Arial"/>
        </w:rPr>
        <w:t>K naplnění celospolečenských cílů v</w:t>
      </w:r>
      <w:r w:rsidR="00CF2351" w:rsidRPr="00B07D79">
        <w:rPr>
          <w:rFonts w:asciiTheme="minorHAnsi" w:hAnsiTheme="minorHAnsi" w:cs="Arial"/>
        </w:rPr>
        <w:t> </w:t>
      </w:r>
      <w:r w:rsidRPr="00B07D79">
        <w:rPr>
          <w:rFonts w:asciiTheme="minorHAnsi" w:hAnsiTheme="minorHAnsi" w:cs="Arial"/>
        </w:rPr>
        <w:t>oblasti přesunu nákladní dopravy ze silnice na železnici jsou systematicky řešeny tři investiční aktivity, což je zvyšování výkonnosti nejvíce zatížených traťových úseků. Jedná se o</w:t>
      </w:r>
      <w:r w:rsidR="00CF2351" w:rsidRPr="00B07D79">
        <w:rPr>
          <w:rFonts w:asciiTheme="minorHAnsi" w:hAnsiTheme="minorHAnsi" w:cs="Arial"/>
        </w:rPr>
        <w:t> </w:t>
      </w:r>
      <w:r w:rsidRPr="00B07D79">
        <w:rPr>
          <w:rFonts w:asciiTheme="minorHAnsi" w:hAnsiTheme="minorHAnsi" w:cs="Arial"/>
        </w:rPr>
        <w:t>provedení konverze napájecího systému 3 kV na výkonnější systém 25 kV, jízdu vlaků v</w:t>
      </w:r>
      <w:r w:rsidR="00CF2351" w:rsidRPr="00B07D79">
        <w:rPr>
          <w:rFonts w:asciiTheme="minorHAnsi" w:hAnsiTheme="minorHAnsi" w:cs="Arial"/>
        </w:rPr>
        <w:t> </w:t>
      </w:r>
      <w:r w:rsidRPr="00B07D79">
        <w:rPr>
          <w:rFonts w:asciiTheme="minorHAnsi" w:hAnsiTheme="minorHAnsi" w:cs="Arial"/>
        </w:rPr>
        <w:t>těsnějším sledu pod dohledem ETCS, prodlužování staničních kolejí pro provoz vlaků délky 740 m, aplikace nových vysoce výkonných lokomotiv s</w:t>
      </w:r>
      <w:r w:rsidR="00CF2351" w:rsidRPr="00B07D79">
        <w:rPr>
          <w:rFonts w:asciiTheme="minorHAnsi" w:hAnsiTheme="minorHAnsi" w:cs="Arial"/>
        </w:rPr>
        <w:t> </w:t>
      </w:r>
      <w:r w:rsidRPr="00B07D79">
        <w:rPr>
          <w:rFonts w:asciiTheme="minorHAnsi" w:hAnsiTheme="minorHAnsi" w:cs="Arial"/>
        </w:rPr>
        <w:t>vyššími normativy zátěže. Do této skupiny patří i</w:t>
      </w:r>
      <w:r w:rsidR="00CF2351" w:rsidRPr="00B07D79">
        <w:rPr>
          <w:rFonts w:asciiTheme="minorHAnsi" w:hAnsiTheme="minorHAnsi" w:cs="Arial"/>
        </w:rPr>
        <w:t> </w:t>
      </w:r>
      <w:r w:rsidRPr="00B07D79">
        <w:rPr>
          <w:rFonts w:asciiTheme="minorHAnsi" w:hAnsiTheme="minorHAnsi" w:cs="Arial"/>
        </w:rPr>
        <w:t>racionální zavádění digitálního automatického spřáhla DAC v</w:t>
      </w:r>
      <w:r w:rsidR="00CF2351" w:rsidRPr="00B07D79">
        <w:rPr>
          <w:rFonts w:asciiTheme="minorHAnsi" w:hAnsiTheme="minorHAnsi" w:cs="Arial"/>
        </w:rPr>
        <w:t> </w:t>
      </w:r>
      <w:r w:rsidRPr="00B07D79">
        <w:rPr>
          <w:rFonts w:asciiTheme="minorHAnsi" w:hAnsiTheme="minorHAnsi" w:cs="Arial"/>
        </w:rPr>
        <w:t>zemích EU včetně ČR, které při vhodné aplikaci na nově vyráběných vozidlech umožní vytvořit novou generaci nákladních vozů s</w:t>
      </w:r>
      <w:r w:rsidR="00CF2351" w:rsidRPr="00B07D79">
        <w:rPr>
          <w:rFonts w:asciiTheme="minorHAnsi" w:hAnsiTheme="minorHAnsi" w:cs="Arial"/>
        </w:rPr>
        <w:t> </w:t>
      </w:r>
      <w:r w:rsidRPr="00B07D79">
        <w:rPr>
          <w:rFonts w:asciiTheme="minorHAnsi" w:hAnsiTheme="minorHAnsi" w:cs="Arial"/>
        </w:rPr>
        <w:t>vysokou užitnou hodnotou. S</w:t>
      </w:r>
      <w:r w:rsidR="00CF2351" w:rsidRPr="00B07D79">
        <w:rPr>
          <w:rFonts w:asciiTheme="minorHAnsi" w:hAnsiTheme="minorHAnsi" w:cs="Arial"/>
        </w:rPr>
        <w:t> </w:t>
      </w:r>
      <w:r w:rsidRPr="00B07D79">
        <w:rPr>
          <w:rFonts w:asciiTheme="minorHAnsi" w:hAnsiTheme="minorHAnsi" w:cs="Arial"/>
        </w:rPr>
        <w:t>rozvojem železniční infrastruktury také souvisí budování překladišť kombinované dopravy, které zajistí přechod na kombinovanou dopravu a</w:t>
      </w:r>
      <w:r w:rsidR="00CF2351" w:rsidRPr="00B07D79">
        <w:rPr>
          <w:rFonts w:asciiTheme="minorHAnsi" w:hAnsiTheme="minorHAnsi" w:cs="Arial"/>
        </w:rPr>
        <w:t> </w:t>
      </w:r>
      <w:r w:rsidRPr="00B07D79">
        <w:rPr>
          <w:rFonts w:asciiTheme="minorHAnsi" w:hAnsiTheme="minorHAnsi" w:cs="Arial"/>
        </w:rPr>
        <w:t>tím bude zajištěna přechodnost zboží ze silnice na železnici a</w:t>
      </w:r>
      <w:r w:rsidR="00CF2351" w:rsidRPr="00B07D79">
        <w:rPr>
          <w:rFonts w:asciiTheme="minorHAnsi" w:hAnsiTheme="minorHAnsi" w:cs="Arial"/>
        </w:rPr>
        <w:t> </w:t>
      </w:r>
      <w:r w:rsidRPr="00B07D79">
        <w:rPr>
          <w:rFonts w:asciiTheme="minorHAnsi" w:hAnsiTheme="minorHAnsi" w:cs="Arial"/>
        </w:rPr>
        <w:t>naopak. Kombinovaná doprava je trendem pro zajištění přechodu na jiné druhy dopravy, neboť zboží je přepravováno v</w:t>
      </w:r>
      <w:r w:rsidR="00CF2351" w:rsidRPr="00B07D79">
        <w:rPr>
          <w:rFonts w:asciiTheme="minorHAnsi" w:hAnsiTheme="minorHAnsi" w:cs="Arial"/>
        </w:rPr>
        <w:t> </w:t>
      </w:r>
      <w:r w:rsidRPr="00B07D79">
        <w:rPr>
          <w:rFonts w:asciiTheme="minorHAnsi" w:hAnsiTheme="minorHAnsi" w:cs="Arial"/>
        </w:rPr>
        <w:t>jedné přepravní jednotce a</w:t>
      </w:r>
      <w:r w:rsidR="00CF2351" w:rsidRPr="00B07D79">
        <w:rPr>
          <w:rFonts w:asciiTheme="minorHAnsi" w:hAnsiTheme="minorHAnsi" w:cs="Arial"/>
        </w:rPr>
        <w:t> </w:t>
      </w:r>
      <w:r w:rsidRPr="00B07D79">
        <w:rPr>
          <w:rFonts w:asciiTheme="minorHAnsi" w:hAnsiTheme="minorHAnsi" w:cs="Arial"/>
        </w:rPr>
        <w:t>tím je zajištěna přechodnost na různá vozidla během přepravy. Kombinovaná doprava využívá stávající železniční a</w:t>
      </w:r>
      <w:r w:rsidR="00CF2351" w:rsidRPr="00B07D79">
        <w:rPr>
          <w:rFonts w:asciiTheme="minorHAnsi" w:hAnsiTheme="minorHAnsi" w:cs="Arial"/>
        </w:rPr>
        <w:t> </w:t>
      </w:r>
      <w:r w:rsidRPr="00B07D79">
        <w:rPr>
          <w:rFonts w:asciiTheme="minorHAnsi" w:hAnsiTheme="minorHAnsi" w:cs="Arial"/>
        </w:rPr>
        <w:t>silniční infrastrukturu.</w:t>
      </w:r>
    </w:p>
    <w:p w14:paraId="5C68D9A5" w14:textId="57F6EE04" w:rsidR="00543428" w:rsidRPr="00B07D79" w:rsidRDefault="00543428" w:rsidP="00B07D79">
      <w:pPr>
        <w:spacing w:line="276" w:lineRule="auto"/>
        <w:jc w:val="both"/>
        <w:rPr>
          <w:rFonts w:asciiTheme="minorHAnsi" w:eastAsiaTheme="minorHAnsi" w:hAnsiTheme="minorHAnsi"/>
          <w:sz w:val="24"/>
        </w:rPr>
      </w:pPr>
      <w:r w:rsidRPr="00B07D79">
        <w:rPr>
          <w:rFonts w:asciiTheme="minorHAnsi" w:hAnsiTheme="minorHAnsi" w:cs="Arial"/>
        </w:rPr>
        <w:t>Přechod na ekologicky přívětivější železniční dopravu musí být doprovázen investičním rozvojem na straně dopravců. Jedná se především o</w:t>
      </w:r>
      <w:r w:rsidR="00CF2351" w:rsidRPr="00B07D79">
        <w:rPr>
          <w:rFonts w:asciiTheme="minorHAnsi" w:hAnsiTheme="minorHAnsi" w:cs="Arial"/>
        </w:rPr>
        <w:t> </w:t>
      </w:r>
      <w:r w:rsidRPr="00B07D79">
        <w:rPr>
          <w:rFonts w:asciiTheme="minorHAnsi" w:hAnsiTheme="minorHAnsi" w:cs="Arial"/>
        </w:rPr>
        <w:t xml:space="preserve">obnovu parku vozidel cílenou na využití zvýšených parametrů železničních tratí. Moderní vozidlový park je nutnou podmínkou pro zhodnocení infrastrukturních investic. Provozem moderních vozidel se dostávají </w:t>
      </w:r>
      <w:proofErr w:type="spellStart"/>
      <w:r w:rsidRPr="00B07D79">
        <w:rPr>
          <w:rFonts w:asciiTheme="minorHAnsi" w:hAnsiTheme="minorHAnsi" w:cs="Arial"/>
        </w:rPr>
        <w:t>extramodání</w:t>
      </w:r>
      <w:proofErr w:type="spellEnd"/>
      <w:r w:rsidRPr="00B07D79">
        <w:rPr>
          <w:rFonts w:asciiTheme="minorHAnsi" w:hAnsiTheme="minorHAnsi" w:cs="Arial"/>
        </w:rPr>
        <w:t xml:space="preserve"> úspory energie a</w:t>
      </w:r>
      <w:r w:rsidR="00CF2351" w:rsidRPr="00B07D79">
        <w:rPr>
          <w:rFonts w:asciiTheme="minorHAnsi" w:hAnsiTheme="minorHAnsi" w:cs="Arial"/>
        </w:rPr>
        <w:t> </w:t>
      </w:r>
      <w:r w:rsidRPr="00B07D79">
        <w:rPr>
          <w:rFonts w:asciiTheme="minorHAnsi" w:hAnsiTheme="minorHAnsi" w:cs="Arial"/>
        </w:rPr>
        <w:t xml:space="preserve">emisí </w:t>
      </w:r>
      <w:r w:rsidR="00316E76" w:rsidRPr="00B07D79">
        <w:rPr>
          <w:rFonts w:asciiTheme="minorHAnsi" w:hAnsiTheme="minorHAnsi" w:cs="Arial"/>
        </w:rPr>
        <w:t>do vnímání celé společnosti.</w:t>
      </w:r>
    </w:p>
    <w:p w14:paraId="02F3BB14" w14:textId="2E002685" w:rsidR="003563C3" w:rsidRPr="00B07D79" w:rsidRDefault="003563C3" w:rsidP="000E5B59">
      <w:pPr>
        <w:pStyle w:val="Nadpis1"/>
      </w:pPr>
      <w:bookmarkStart w:id="222" w:name="_Toc173240073"/>
      <w:r w:rsidRPr="00B07D79">
        <w:t xml:space="preserve">Vyhodnocení dosavadního vývoje </w:t>
      </w:r>
      <w:r w:rsidR="00E61DB1" w:rsidRPr="00B07D79">
        <w:t xml:space="preserve">zavádění alternativních paliv </w:t>
      </w:r>
      <w:r w:rsidRPr="00B07D79">
        <w:t>v</w:t>
      </w:r>
      <w:r w:rsidR="00CF2351" w:rsidRPr="00B07D79">
        <w:t> </w:t>
      </w:r>
      <w:r w:rsidRPr="00B07D79">
        <w:t xml:space="preserve">oblasti </w:t>
      </w:r>
      <w:r w:rsidR="00E61DB1" w:rsidRPr="00B07D79">
        <w:t xml:space="preserve">silničních </w:t>
      </w:r>
      <w:r w:rsidRPr="00B07D79">
        <w:t>vozidel</w:t>
      </w:r>
      <w:bookmarkEnd w:id="207"/>
      <w:bookmarkEnd w:id="208"/>
      <w:bookmarkEnd w:id="209"/>
      <w:bookmarkEnd w:id="210"/>
      <w:bookmarkEnd w:id="222"/>
    </w:p>
    <w:bookmarkEnd w:id="211"/>
    <w:bookmarkEnd w:id="212"/>
    <w:bookmarkEnd w:id="213"/>
    <w:p w14:paraId="2E0BAAD3" w14:textId="50B770EF" w:rsidR="00280986" w:rsidRPr="00B07D79" w:rsidRDefault="00280986" w:rsidP="00B07D79">
      <w:pPr>
        <w:spacing w:line="276" w:lineRule="auto"/>
        <w:jc w:val="both"/>
        <w:rPr>
          <w:rFonts w:asciiTheme="minorHAnsi" w:hAnsiTheme="minorHAnsi"/>
        </w:rPr>
      </w:pPr>
      <w:r w:rsidRPr="00B07D79">
        <w:rPr>
          <w:rFonts w:asciiTheme="minorHAnsi" w:hAnsiTheme="minorHAnsi"/>
        </w:rPr>
        <w:t xml:space="preserve">K 31. </w:t>
      </w:r>
      <w:r w:rsidR="006F26F3" w:rsidRPr="00B07D79">
        <w:rPr>
          <w:rFonts w:asciiTheme="minorHAnsi" w:hAnsiTheme="minorHAnsi"/>
        </w:rPr>
        <w:t>prosinci</w:t>
      </w:r>
      <w:r w:rsidRPr="00B07D79">
        <w:rPr>
          <w:rFonts w:asciiTheme="minorHAnsi" w:hAnsiTheme="minorHAnsi"/>
        </w:rPr>
        <w:t xml:space="preserve"> 2023 bylo v</w:t>
      </w:r>
      <w:r w:rsidR="00CF2351" w:rsidRPr="00B07D79">
        <w:rPr>
          <w:rFonts w:asciiTheme="minorHAnsi" w:hAnsiTheme="minorHAnsi"/>
        </w:rPr>
        <w:t> </w:t>
      </w:r>
      <w:r w:rsidRPr="00B07D79">
        <w:rPr>
          <w:rFonts w:asciiTheme="minorHAnsi" w:hAnsiTheme="minorHAnsi"/>
        </w:rPr>
        <w:t xml:space="preserve">provozu 22 451 osobních BEV (bateriová elektrická vozidla), </w:t>
      </w:r>
      <w:r w:rsidR="00722119" w:rsidRPr="00B07D79">
        <w:rPr>
          <w:rFonts w:asciiTheme="minorHAnsi" w:hAnsiTheme="minorHAnsi"/>
        </w:rPr>
        <w:t>15</w:t>
      </w:r>
      <w:r w:rsidR="00DD42B0" w:rsidRPr="00B07D79">
        <w:rPr>
          <w:rFonts w:asciiTheme="minorHAnsi" w:hAnsiTheme="minorHAnsi"/>
        </w:rPr>
        <w:t> </w:t>
      </w:r>
      <w:r w:rsidR="00722119" w:rsidRPr="00B07D79">
        <w:rPr>
          <w:rFonts w:asciiTheme="minorHAnsi" w:hAnsiTheme="minorHAnsi"/>
        </w:rPr>
        <w:t>843</w:t>
      </w:r>
      <w:r w:rsidR="00DD42B0" w:rsidRPr="00B07D79">
        <w:rPr>
          <w:rFonts w:asciiTheme="minorHAnsi" w:hAnsiTheme="minorHAnsi"/>
        </w:rPr>
        <w:t> </w:t>
      </w:r>
      <w:r w:rsidRPr="00B07D79">
        <w:rPr>
          <w:rFonts w:asciiTheme="minorHAnsi" w:hAnsiTheme="minorHAnsi"/>
        </w:rPr>
        <w:t>PHEV (plug-in hybridní vozidla) a</w:t>
      </w:r>
      <w:r w:rsidR="00CF2351" w:rsidRPr="00B07D79">
        <w:rPr>
          <w:rFonts w:asciiTheme="minorHAnsi" w:hAnsiTheme="minorHAnsi"/>
        </w:rPr>
        <w:t> </w:t>
      </w:r>
      <w:r w:rsidRPr="00B07D79">
        <w:rPr>
          <w:rFonts w:asciiTheme="minorHAnsi" w:hAnsiTheme="minorHAnsi"/>
        </w:rPr>
        <w:t>28 FCEV (elektrická vozidla s</w:t>
      </w:r>
      <w:r w:rsidR="00CF2351" w:rsidRPr="00B07D79">
        <w:rPr>
          <w:rFonts w:asciiTheme="minorHAnsi" w:hAnsiTheme="minorHAnsi"/>
        </w:rPr>
        <w:t> </w:t>
      </w:r>
      <w:r w:rsidRPr="00B07D79">
        <w:rPr>
          <w:rFonts w:asciiTheme="minorHAnsi" w:hAnsiTheme="minorHAnsi"/>
        </w:rPr>
        <w:t>vodíkovými palivovými články), 23 023 CNG a</w:t>
      </w:r>
      <w:r w:rsidR="00CF2351" w:rsidRPr="00B07D79">
        <w:rPr>
          <w:rFonts w:asciiTheme="minorHAnsi" w:hAnsiTheme="minorHAnsi"/>
        </w:rPr>
        <w:t> </w:t>
      </w:r>
      <w:r w:rsidRPr="00B07D79">
        <w:rPr>
          <w:rFonts w:asciiTheme="minorHAnsi" w:hAnsiTheme="minorHAnsi"/>
        </w:rPr>
        <w:t xml:space="preserve">přes 104 tis. LPG vozidel. </w:t>
      </w:r>
    </w:p>
    <w:p w14:paraId="10A5389F" w14:textId="1452EE1F" w:rsidR="00280986" w:rsidRPr="00B07D79" w:rsidRDefault="00280986" w:rsidP="00B07D79">
      <w:pPr>
        <w:spacing w:line="276" w:lineRule="auto"/>
        <w:jc w:val="both"/>
        <w:rPr>
          <w:rFonts w:asciiTheme="minorHAnsi" w:hAnsiTheme="minorHAnsi"/>
        </w:rPr>
      </w:pPr>
      <w:r w:rsidRPr="00B07D79">
        <w:rPr>
          <w:rFonts w:asciiTheme="minorHAnsi" w:hAnsiTheme="minorHAnsi"/>
        </w:rPr>
        <w:t>Lehkých užitkových vozidel (N1) bylo v</w:t>
      </w:r>
      <w:r w:rsidR="00CF2351" w:rsidRPr="00B07D79">
        <w:rPr>
          <w:rFonts w:asciiTheme="minorHAnsi" w:hAnsiTheme="minorHAnsi"/>
        </w:rPr>
        <w:t> </w:t>
      </w:r>
      <w:r w:rsidRPr="00B07D79">
        <w:rPr>
          <w:rFonts w:asciiTheme="minorHAnsi" w:hAnsiTheme="minorHAnsi"/>
        </w:rPr>
        <w:t>provozu 1 382 vozidel (bateriová elektrická vozidla), 4</w:t>
      </w:r>
      <w:r w:rsidR="003358AA" w:rsidRPr="00B07D79">
        <w:rPr>
          <w:rFonts w:asciiTheme="minorHAnsi" w:hAnsiTheme="minorHAnsi"/>
        </w:rPr>
        <w:t> </w:t>
      </w:r>
      <w:r w:rsidRPr="00B07D79">
        <w:rPr>
          <w:rFonts w:asciiTheme="minorHAnsi" w:hAnsiTheme="minorHAnsi"/>
        </w:rPr>
        <w:t>971 CNG a</w:t>
      </w:r>
      <w:r w:rsidR="00CF2351" w:rsidRPr="00B07D79">
        <w:rPr>
          <w:rFonts w:asciiTheme="minorHAnsi" w:hAnsiTheme="minorHAnsi"/>
        </w:rPr>
        <w:t> </w:t>
      </w:r>
      <w:r w:rsidRPr="00B07D79">
        <w:rPr>
          <w:rFonts w:asciiTheme="minorHAnsi" w:hAnsiTheme="minorHAnsi"/>
        </w:rPr>
        <w:t>necelých 7,3 tis. LPG vozidel.</w:t>
      </w:r>
    </w:p>
    <w:p w14:paraId="2D79E8AE" w14:textId="5B475847" w:rsidR="00280986" w:rsidRPr="00B07D79" w:rsidRDefault="00280986" w:rsidP="00B07D79">
      <w:pPr>
        <w:spacing w:line="276" w:lineRule="auto"/>
        <w:jc w:val="both"/>
        <w:rPr>
          <w:rFonts w:asciiTheme="minorHAnsi" w:hAnsiTheme="minorHAnsi"/>
        </w:rPr>
      </w:pPr>
      <w:r w:rsidRPr="00B07D79">
        <w:rPr>
          <w:rFonts w:asciiTheme="minorHAnsi" w:hAnsiTheme="minorHAnsi"/>
        </w:rPr>
        <w:t>V kategorii nákladních vozidel bylo registrováno pouze 23 nákladních BEV, 19 kategorie N3 a</w:t>
      </w:r>
      <w:r w:rsidR="00CF2351" w:rsidRPr="00B07D79">
        <w:rPr>
          <w:rFonts w:asciiTheme="minorHAnsi" w:hAnsiTheme="minorHAnsi"/>
        </w:rPr>
        <w:t> </w:t>
      </w:r>
      <w:r w:rsidRPr="00B07D79">
        <w:rPr>
          <w:rFonts w:asciiTheme="minorHAnsi" w:hAnsiTheme="minorHAnsi"/>
        </w:rPr>
        <w:t>4 kategorie N2. Dále dopravci využívali 353 CNG, 120 LNG a</w:t>
      </w:r>
      <w:r w:rsidR="00CF2351" w:rsidRPr="00B07D79">
        <w:rPr>
          <w:rFonts w:asciiTheme="minorHAnsi" w:hAnsiTheme="minorHAnsi"/>
        </w:rPr>
        <w:t> </w:t>
      </w:r>
      <w:r w:rsidRPr="00B07D79">
        <w:rPr>
          <w:rFonts w:asciiTheme="minorHAnsi" w:hAnsiTheme="minorHAnsi"/>
        </w:rPr>
        <w:t>23 LPG vozidel.</w:t>
      </w:r>
    </w:p>
    <w:p w14:paraId="38E0288A" w14:textId="3831A9AF" w:rsidR="00280986" w:rsidRPr="00B07D79" w:rsidRDefault="00280986" w:rsidP="00B07D79">
      <w:pPr>
        <w:spacing w:line="276" w:lineRule="auto"/>
        <w:jc w:val="both"/>
        <w:rPr>
          <w:rFonts w:asciiTheme="minorHAnsi" w:hAnsiTheme="minorHAnsi"/>
        </w:rPr>
      </w:pPr>
      <w:r w:rsidRPr="00B07D79">
        <w:rPr>
          <w:rFonts w:asciiTheme="minorHAnsi" w:hAnsiTheme="minorHAnsi"/>
        </w:rPr>
        <w:t>U autobusové dopravy bylo v</w:t>
      </w:r>
      <w:r w:rsidR="00CF2351" w:rsidRPr="00B07D79">
        <w:rPr>
          <w:rFonts w:asciiTheme="minorHAnsi" w:hAnsiTheme="minorHAnsi"/>
        </w:rPr>
        <w:t> </w:t>
      </w:r>
      <w:r w:rsidRPr="00B07D79">
        <w:rPr>
          <w:rFonts w:asciiTheme="minorHAnsi" w:hAnsiTheme="minorHAnsi"/>
        </w:rPr>
        <w:t>provozu 153 BEV, 1 941 CNG a</w:t>
      </w:r>
      <w:r w:rsidR="00CF2351" w:rsidRPr="00B07D79">
        <w:rPr>
          <w:rFonts w:asciiTheme="minorHAnsi" w:hAnsiTheme="minorHAnsi"/>
        </w:rPr>
        <w:t> </w:t>
      </w:r>
      <w:r w:rsidRPr="00B07D79">
        <w:rPr>
          <w:rFonts w:asciiTheme="minorHAnsi" w:hAnsiTheme="minorHAnsi"/>
        </w:rPr>
        <w:t xml:space="preserve">2 LPG vozidel. </w:t>
      </w:r>
    </w:p>
    <w:p w14:paraId="0A7FFAFF" w14:textId="235F3DA4" w:rsidR="00280986" w:rsidRPr="00B07D79" w:rsidRDefault="00280986" w:rsidP="00B07D79">
      <w:pPr>
        <w:spacing w:line="276" w:lineRule="auto"/>
        <w:jc w:val="both"/>
        <w:rPr>
          <w:rFonts w:asciiTheme="minorHAnsi" w:hAnsiTheme="minorHAnsi"/>
        </w:rPr>
      </w:pPr>
      <w:r w:rsidRPr="00B07D79">
        <w:rPr>
          <w:rFonts w:asciiTheme="minorHAnsi" w:hAnsiTheme="minorHAnsi"/>
        </w:rPr>
        <w:t>U kategorie L</w:t>
      </w:r>
      <w:r w:rsidR="00CF2351" w:rsidRPr="00B07D79">
        <w:rPr>
          <w:rFonts w:asciiTheme="minorHAnsi" w:hAnsiTheme="minorHAnsi"/>
        </w:rPr>
        <w:t> </w:t>
      </w:r>
      <w:r w:rsidRPr="00B07D79">
        <w:rPr>
          <w:rFonts w:asciiTheme="minorHAnsi" w:hAnsiTheme="minorHAnsi"/>
        </w:rPr>
        <w:t xml:space="preserve">v registru bylo necelých 9,9 tis. vozidel na baterie. </w:t>
      </w:r>
    </w:p>
    <w:p w14:paraId="13869B97" w14:textId="1BC51A4D" w:rsidR="00280986" w:rsidRPr="00B07D79" w:rsidRDefault="00280986" w:rsidP="00B07D79">
      <w:pPr>
        <w:spacing w:line="276" w:lineRule="auto"/>
        <w:jc w:val="both"/>
        <w:rPr>
          <w:rFonts w:asciiTheme="minorHAnsi" w:hAnsiTheme="minorHAnsi"/>
        </w:rPr>
      </w:pPr>
      <w:r w:rsidRPr="00B07D79">
        <w:rPr>
          <w:rFonts w:asciiTheme="minorHAnsi" w:hAnsiTheme="minorHAnsi"/>
        </w:rPr>
        <w:t>Můžeme konstatovat, že v</w:t>
      </w:r>
      <w:r w:rsidR="00CF2351" w:rsidRPr="00B07D79">
        <w:rPr>
          <w:rFonts w:asciiTheme="minorHAnsi" w:hAnsiTheme="minorHAnsi"/>
        </w:rPr>
        <w:t> </w:t>
      </w:r>
      <w:r w:rsidRPr="00B07D79">
        <w:rPr>
          <w:rFonts w:asciiTheme="minorHAnsi" w:hAnsiTheme="minorHAnsi"/>
        </w:rPr>
        <w:t>ČR je také využíváno cca 0,5 mil. elektrokol.</w:t>
      </w:r>
    </w:p>
    <w:p w14:paraId="6FF040DA" w14:textId="4412FEC5" w:rsidR="00E26E3A" w:rsidRPr="00B07D79" w:rsidRDefault="00E26E3A" w:rsidP="00B07D79">
      <w:pPr>
        <w:pStyle w:val="Titulek"/>
        <w:keepNext/>
        <w:spacing w:before="120" w:after="120" w:line="276" w:lineRule="auto"/>
        <w:jc w:val="both"/>
        <w:rPr>
          <w:rFonts w:asciiTheme="minorHAnsi" w:hAnsiTheme="minorHAnsi"/>
          <w:b w:val="0"/>
          <w:bCs w:val="0"/>
          <w:color w:val="385623" w:themeColor="accent6" w:themeShade="80"/>
        </w:rPr>
      </w:pPr>
      <w:r w:rsidRPr="00B07D79">
        <w:rPr>
          <w:rFonts w:asciiTheme="minorHAnsi" w:hAnsiTheme="minorHAnsi"/>
          <w:b w:val="0"/>
          <w:bCs w:val="0"/>
          <w:color w:val="385623" w:themeColor="accent6" w:themeShade="80"/>
        </w:rPr>
        <w:t xml:space="preserve">Tabulka </w:t>
      </w:r>
      <w:r w:rsidR="003D774B" w:rsidRPr="00B07D79">
        <w:rPr>
          <w:rFonts w:asciiTheme="minorHAnsi" w:hAnsiTheme="minorHAnsi"/>
          <w:b w:val="0"/>
          <w:bCs w:val="0"/>
          <w:color w:val="385623" w:themeColor="accent6" w:themeShade="80"/>
        </w:rPr>
        <w:fldChar w:fldCharType="begin"/>
      </w:r>
      <w:r w:rsidR="003D774B" w:rsidRPr="00B07D79">
        <w:rPr>
          <w:rFonts w:asciiTheme="minorHAnsi" w:hAnsiTheme="minorHAnsi"/>
          <w:b w:val="0"/>
          <w:bCs w:val="0"/>
          <w:color w:val="385623" w:themeColor="accent6" w:themeShade="80"/>
        </w:rPr>
        <w:instrText xml:space="preserve"> SEQ Tabulka \* ARABIC </w:instrText>
      </w:r>
      <w:r w:rsidR="003D774B" w:rsidRPr="00B07D79">
        <w:rPr>
          <w:rFonts w:asciiTheme="minorHAnsi" w:hAnsiTheme="minorHAnsi"/>
          <w:b w:val="0"/>
          <w:bCs w:val="0"/>
          <w:color w:val="385623" w:themeColor="accent6" w:themeShade="80"/>
        </w:rPr>
        <w:fldChar w:fldCharType="separate"/>
      </w:r>
      <w:r w:rsidR="00D61B36" w:rsidRPr="00B07D79">
        <w:rPr>
          <w:rFonts w:asciiTheme="minorHAnsi" w:hAnsiTheme="minorHAnsi"/>
          <w:b w:val="0"/>
          <w:bCs w:val="0"/>
          <w:noProof/>
          <w:color w:val="385623" w:themeColor="accent6" w:themeShade="80"/>
        </w:rPr>
        <w:t>1</w:t>
      </w:r>
      <w:r w:rsidR="003D774B" w:rsidRPr="00B07D79">
        <w:rPr>
          <w:rFonts w:asciiTheme="minorHAnsi" w:hAnsiTheme="minorHAnsi"/>
          <w:b w:val="0"/>
          <w:bCs w:val="0"/>
          <w:noProof/>
          <w:color w:val="385623" w:themeColor="accent6" w:themeShade="80"/>
        </w:rPr>
        <w:fldChar w:fldCharType="end"/>
      </w:r>
      <w:r w:rsidRPr="00B07D79">
        <w:rPr>
          <w:rFonts w:asciiTheme="minorHAnsi" w:hAnsiTheme="minorHAnsi"/>
          <w:b w:val="0"/>
          <w:bCs w:val="0"/>
          <w:color w:val="385623" w:themeColor="accent6" w:themeShade="80"/>
        </w:rPr>
        <w:t xml:space="preserve"> Registrace nových OA dle paliv v</w:t>
      </w:r>
      <w:r w:rsidR="00CF2351" w:rsidRPr="00B07D79">
        <w:rPr>
          <w:rFonts w:asciiTheme="minorHAnsi" w:hAnsiTheme="minorHAnsi"/>
          <w:b w:val="0"/>
          <w:bCs w:val="0"/>
          <w:color w:val="385623" w:themeColor="accent6" w:themeShade="80"/>
        </w:rPr>
        <w:t> </w:t>
      </w:r>
      <w:r w:rsidRPr="00B07D79">
        <w:rPr>
          <w:rFonts w:asciiTheme="minorHAnsi" w:hAnsiTheme="minorHAnsi"/>
          <w:b w:val="0"/>
          <w:bCs w:val="0"/>
          <w:color w:val="385623" w:themeColor="accent6" w:themeShade="80"/>
        </w:rPr>
        <w:t>letech 2019-2023</w:t>
      </w:r>
    </w:p>
    <w:tbl>
      <w:tblPr>
        <w:tblW w:w="882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CellMar>
          <w:left w:w="70" w:type="dxa"/>
          <w:right w:w="70" w:type="dxa"/>
        </w:tblCellMar>
        <w:tblLook w:val="04A0" w:firstRow="1" w:lastRow="0" w:firstColumn="1" w:lastColumn="0" w:noHBand="0" w:noVBand="1"/>
      </w:tblPr>
      <w:tblGrid>
        <w:gridCol w:w="2835"/>
        <w:gridCol w:w="1271"/>
        <w:gridCol w:w="1079"/>
        <w:gridCol w:w="1170"/>
        <w:gridCol w:w="1262"/>
        <w:gridCol w:w="1211"/>
      </w:tblGrid>
      <w:tr w:rsidR="00E26E3A" w:rsidRPr="00B07D79" w14:paraId="6C959F6A" w14:textId="77777777" w:rsidTr="00B07D79">
        <w:trPr>
          <w:trHeight w:val="510"/>
          <w:tblHeader/>
        </w:trPr>
        <w:tc>
          <w:tcPr>
            <w:tcW w:w="2835" w:type="dxa"/>
            <w:shd w:val="clear" w:color="auto" w:fill="70AD47" w:themeFill="accent6"/>
            <w:noWrap/>
            <w:vAlign w:val="center"/>
            <w:hideMark/>
          </w:tcPr>
          <w:p w14:paraId="6EF4EE51"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Rok</w:t>
            </w:r>
          </w:p>
        </w:tc>
        <w:tc>
          <w:tcPr>
            <w:tcW w:w="1271" w:type="dxa"/>
            <w:shd w:val="clear" w:color="auto" w:fill="70AD47" w:themeFill="accent6"/>
            <w:vAlign w:val="center"/>
          </w:tcPr>
          <w:p w14:paraId="456794D5"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2019</w:t>
            </w:r>
          </w:p>
        </w:tc>
        <w:tc>
          <w:tcPr>
            <w:tcW w:w="1079" w:type="dxa"/>
            <w:shd w:val="clear" w:color="auto" w:fill="70AD47" w:themeFill="accent6"/>
            <w:vAlign w:val="center"/>
          </w:tcPr>
          <w:p w14:paraId="31C58F83"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2020</w:t>
            </w:r>
          </w:p>
        </w:tc>
        <w:tc>
          <w:tcPr>
            <w:tcW w:w="1170" w:type="dxa"/>
            <w:shd w:val="clear" w:color="auto" w:fill="70AD47" w:themeFill="accent6"/>
            <w:vAlign w:val="center"/>
          </w:tcPr>
          <w:p w14:paraId="031F7028"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2021</w:t>
            </w:r>
          </w:p>
        </w:tc>
        <w:tc>
          <w:tcPr>
            <w:tcW w:w="1262" w:type="dxa"/>
            <w:shd w:val="clear" w:color="auto" w:fill="70AD47" w:themeFill="accent6"/>
            <w:vAlign w:val="center"/>
          </w:tcPr>
          <w:p w14:paraId="681E60A8"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2022</w:t>
            </w:r>
          </w:p>
        </w:tc>
        <w:tc>
          <w:tcPr>
            <w:tcW w:w="1211" w:type="dxa"/>
            <w:shd w:val="clear" w:color="auto" w:fill="70AD47" w:themeFill="accent6"/>
            <w:vAlign w:val="center"/>
          </w:tcPr>
          <w:p w14:paraId="706EFABA" w14:textId="77777777" w:rsidR="00E26E3A" w:rsidRPr="00B07D79" w:rsidRDefault="00E26E3A"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2023</w:t>
            </w:r>
          </w:p>
        </w:tc>
      </w:tr>
      <w:tr w:rsidR="00E26E3A" w:rsidRPr="00B07D79" w14:paraId="75A321B3" w14:textId="77777777" w:rsidTr="00B07D79">
        <w:trPr>
          <w:trHeight w:val="442"/>
        </w:trPr>
        <w:tc>
          <w:tcPr>
            <w:tcW w:w="2835" w:type="dxa"/>
            <w:shd w:val="clear" w:color="auto" w:fill="A8D08D" w:themeFill="accent6" w:themeFillTint="99"/>
            <w:vAlign w:val="center"/>
            <w:hideMark/>
          </w:tcPr>
          <w:p w14:paraId="43118A70"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BEV</w:t>
            </w:r>
          </w:p>
        </w:tc>
        <w:tc>
          <w:tcPr>
            <w:tcW w:w="1271" w:type="dxa"/>
            <w:shd w:val="clear" w:color="auto" w:fill="A8D08D" w:themeFill="accent6" w:themeFillTint="99"/>
            <w:vAlign w:val="center"/>
          </w:tcPr>
          <w:p w14:paraId="12F8B7F1"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756</w:t>
            </w:r>
          </w:p>
        </w:tc>
        <w:tc>
          <w:tcPr>
            <w:tcW w:w="1079" w:type="dxa"/>
            <w:shd w:val="clear" w:color="auto" w:fill="A8D08D" w:themeFill="accent6" w:themeFillTint="99"/>
            <w:vAlign w:val="center"/>
          </w:tcPr>
          <w:p w14:paraId="6AB55670"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3 262</w:t>
            </w:r>
          </w:p>
        </w:tc>
        <w:tc>
          <w:tcPr>
            <w:tcW w:w="1170" w:type="dxa"/>
            <w:shd w:val="clear" w:color="auto" w:fill="A8D08D" w:themeFill="accent6" w:themeFillTint="99"/>
            <w:vAlign w:val="center"/>
          </w:tcPr>
          <w:p w14:paraId="49C2083D" w14:textId="6A611DEA" w:rsidR="00E26E3A" w:rsidRPr="00B07D79" w:rsidRDefault="00E26E3A" w:rsidP="00B07D79">
            <w:pPr>
              <w:spacing w:line="276" w:lineRule="auto"/>
              <w:jc w:val="both"/>
              <w:rPr>
                <w:rFonts w:asciiTheme="minorHAnsi" w:hAnsiTheme="minorHAnsi"/>
              </w:rPr>
            </w:pPr>
            <w:r w:rsidRPr="00B07D79">
              <w:rPr>
                <w:rFonts w:asciiTheme="minorHAnsi" w:hAnsiTheme="minorHAnsi"/>
              </w:rPr>
              <w:t>2</w:t>
            </w:r>
            <w:r w:rsidR="002041A7" w:rsidRPr="00B07D79">
              <w:rPr>
                <w:rFonts w:asciiTheme="minorHAnsi" w:hAnsiTheme="minorHAnsi"/>
              </w:rPr>
              <w:t xml:space="preserve"> </w:t>
            </w:r>
            <w:r w:rsidRPr="00B07D79">
              <w:rPr>
                <w:rFonts w:asciiTheme="minorHAnsi" w:hAnsiTheme="minorHAnsi"/>
              </w:rPr>
              <w:t>646</w:t>
            </w:r>
          </w:p>
        </w:tc>
        <w:tc>
          <w:tcPr>
            <w:tcW w:w="1262" w:type="dxa"/>
            <w:shd w:val="clear" w:color="auto" w:fill="A8D08D" w:themeFill="accent6" w:themeFillTint="99"/>
            <w:vAlign w:val="center"/>
          </w:tcPr>
          <w:p w14:paraId="33C2E82C"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2 892</w:t>
            </w:r>
          </w:p>
        </w:tc>
        <w:tc>
          <w:tcPr>
            <w:tcW w:w="1211" w:type="dxa"/>
            <w:shd w:val="clear" w:color="auto" w:fill="A8D08D" w:themeFill="accent6" w:themeFillTint="99"/>
            <w:vAlign w:val="center"/>
          </w:tcPr>
          <w:p w14:paraId="5751BBEC"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 6 640</w:t>
            </w:r>
          </w:p>
        </w:tc>
      </w:tr>
      <w:tr w:rsidR="00E26E3A" w:rsidRPr="00B07D79" w14:paraId="556E5921" w14:textId="77777777" w:rsidTr="00B07D79">
        <w:trPr>
          <w:trHeight w:val="442"/>
        </w:trPr>
        <w:tc>
          <w:tcPr>
            <w:tcW w:w="2835" w:type="dxa"/>
            <w:shd w:val="clear" w:color="auto" w:fill="A8D08D" w:themeFill="accent6" w:themeFillTint="99"/>
            <w:vAlign w:val="center"/>
          </w:tcPr>
          <w:p w14:paraId="0E50CF7C"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PHEV </w:t>
            </w:r>
          </w:p>
        </w:tc>
        <w:tc>
          <w:tcPr>
            <w:tcW w:w="1271" w:type="dxa"/>
            <w:shd w:val="clear" w:color="auto" w:fill="A8D08D" w:themeFill="accent6" w:themeFillTint="99"/>
            <w:vAlign w:val="center"/>
          </w:tcPr>
          <w:p w14:paraId="4D347A79"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470</w:t>
            </w:r>
          </w:p>
        </w:tc>
        <w:tc>
          <w:tcPr>
            <w:tcW w:w="1079" w:type="dxa"/>
            <w:shd w:val="clear" w:color="auto" w:fill="A8D08D" w:themeFill="accent6" w:themeFillTint="99"/>
            <w:vAlign w:val="center"/>
          </w:tcPr>
          <w:p w14:paraId="714B5729"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1 978</w:t>
            </w:r>
          </w:p>
        </w:tc>
        <w:tc>
          <w:tcPr>
            <w:tcW w:w="1170" w:type="dxa"/>
            <w:shd w:val="clear" w:color="auto" w:fill="A8D08D" w:themeFill="accent6" w:themeFillTint="99"/>
            <w:vAlign w:val="center"/>
          </w:tcPr>
          <w:p w14:paraId="725BAC9D" w14:textId="2AC57B7E" w:rsidR="00E26E3A" w:rsidRPr="00B07D79" w:rsidRDefault="00E26E3A" w:rsidP="00B07D79">
            <w:pPr>
              <w:spacing w:line="276" w:lineRule="auto"/>
              <w:jc w:val="both"/>
              <w:rPr>
                <w:rFonts w:asciiTheme="minorHAnsi" w:hAnsiTheme="minorHAnsi"/>
              </w:rPr>
            </w:pPr>
            <w:r w:rsidRPr="00B07D79">
              <w:rPr>
                <w:rFonts w:asciiTheme="minorHAnsi" w:hAnsiTheme="minorHAnsi"/>
              </w:rPr>
              <w:t>3</w:t>
            </w:r>
            <w:r w:rsidR="002041A7" w:rsidRPr="00B07D79">
              <w:rPr>
                <w:rFonts w:asciiTheme="minorHAnsi" w:hAnsiTheme="minorHAnsi"/>
              </w:rPr>
              <w:t xml:space="preserve"> </w:t>
            </w:r>
            <w:r w:rsidRPr="00B07D79">
              <w:rPr>
                <w:rFonts w:asciiTheme="minorHAnsi" w:hAnsiTheme="minorHAnsi"/>
              </w:rPr>
              <w:t>735</w:t>
            </w:r>
          </w:p>
        </w:tc>
        <w:tc>
          <w:tcPr>
            <w:tcW w:w="1262" w:type="dxa"/>
            <w:shd w:val="clear" w:color="auto" w:fill="A8D08D" w:themeFill="accent6" w:themeFillTint="99"/>
            <w:vAlign w:val="center"/>
          </w:tcPr>
          <w:p w14:paraId="41F9F274"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3650</w:t>
            </w:r>
          </w:p>
        </w:tc>
        <w:tc>
          <w:tcPr>
            <w:tcW w:w="1211" w:type="dxa"/>
            <w:shd w:val="clear" w:color="auto" w:fill="A8D08D" w:themeFill="accent6" w:themeFillTint="99"/>
            <w:vAlign w:val="center"/>
          </w:tcPr>
          <w:p w14:paraId="2CD729E1"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 5 653</w:t>
            </w:r>
          </w:p>
        </w:tc>
      </w:tr>
      <w:tr w:rsidR="00E26E3A" w:rsidRPr="00B07D79" w14:paraId="35871CC5" w14:textId="77777777" w:rsidTr="00B07D79">
        <w:trPr>
          <w:trHeight w:val="442"/>
        </w:trPr>
        <w:tc>
          <w:tcPr>
            <w:tcW w:w="2835" w:type="dxa"/>
            <w:shd w:val="clear" w:color="auto" w:fill="A8D08D" w:themeFill="accent6" w:themeFillTint="99"/>
            <w:vAlign w:val="center"/>
          </w:tcPr>
          <w:p w14:paraId="055E3044"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lastRenderedPageBreak/>
              <w:t>LPG</w:t>
            </w:r>
          </w:p>
        </w:tc>
        <w:tc>
          <w:tcPr>
            <w:tcW w:w="1271" w:type="dxa"/>
            <w:shd w:val="clear" w:color="auto" w:fill="A8D08D" w:themeFill="accent6" w:themeFillTint="99"/>
            <w:vAlign w:val="center"/>
          </w:tcPr>
          <w:p w14:paraId="096E5C0D"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406</w:t>
            </w:r>
          </w:p>
        </w:tc>
        <w:tc>
          <w:tcPr>
            <w:tcW w:w="1079" w:type="dxa"/>
            <w:shd w:val="clear" w:color="auto" w:fill="A8D08D" w:themeFill="accent6" w:themeFillTint="99"/>
            <w:vAlign w:val="center"/>
          </w:tcPr>
          <w:p w14:paraId="69CE0CCD"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1 270</w:t>
            </w:r>
          </w:p>
        </w:tc>
        <w:tc>
          <w:tcPr>
            <w:tcW w:w="1170" w:type="dxa"/>
            <w:shd w:val="clear" w:color="auto" w:fill="A8D08D" w:themeFill="accent6" w:themeFillTint="99"/>
            <w:vAlign w:val="center"/>
          </w:tcPr>
          <w:p w14:paraId="20CE0983"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2 259</w:t>
            </w:r>
          </w:p>
        </w:tc>
        <w:tc>
          <w:tcPr>
            <w:tcW w:w="1262" w:type="dxa"/>
            <w:shd w:val="clear" w:color="auto" w:fill="A8D08D" w:themeFill="accent6" w:themeFillTint="99"/>
            <w:vAlign w:val="center"/>
          </w:tcPr>
          <w:p w14:paraId="1B4FB5CB"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3 966</w:t>
            </w:r>
          </w:p>
        </w:tc>
        <w:tc>
          <w:tcPr>
            <w:tcW w:w="1211" w:type="dxa"/>
            <w:shd w:val="clear" w:color="auto" w:fill="A8D08D" w:themeFill="accent6" w:themeFillTint="99"/>
            <w:vAlign w:val="center"/>
          </w:tcPr>
          <w:p w14:paraId="5BFDDFFF"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 3 502</w:t>
            </w:r>
          </w:p>
        </w:tc>
      </w:tr>
      <w:tr w:rsidR="00E26E3A" w:rsidRPr="00B07D79" w14:paraId="0FA4EEA0" w14:textId="77777777" w:rsidTr="00B07D79">
        <w:trPr>
          <w:trHeight w:val="442"/>
        </w:trPr>
        <w:tc>
          <w:tcPr>
            <w:tcW w:w="2835" w:type="dxa"/>
            <w:shd w:val="clear" w:color="auto" w:fill="A8D08D" w:themeFill="accent6" w:themeFillTint="99"/>
            <w:vAlign w:val="center"/>
          </w:tcPr>
          <w:p w14:paraId="1B6770F5"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CNG</w:t>
            </w:r>
          </w:p>
        </w:tc>
        <w:tc>
          <w:tcPr>
            <w:tcW w:w="1271" w:type="dxa"/>
            <w:shd w:val="clear" w:color="auto" w:fill="A8D08D" w:themeFill="accent6" w:themeFillTint="99"/>
            <w:vAlign w:val="center"/>
          </w:tcPr>
          <w:p w14:paraId="6A65341A"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1791</w:t>
            </w:r>
          </w:p>
        </w:tc>
        <w:tc>
          <w:tcPr>
            <w:tcW w:w="1079" w:type="dxa"/>
            <w:shd w:val="clear" w:color="auto" w:fill="A8D08D" w:themeFill="accent6" w:themeFillTint="99"/>
            <w:vAlign w:val="center"/>
          </w:tcPr>
          <w:p w14:paraId="478CC620"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1293</w:t>
            </w:r>
          </w:p>
        </w:tc>
        <w:tc>
          <w:tcPr>
            <w:tcW w:w="1170" w:type="dxa"/>
            <w:shd w:val="clear" w:color="auto" w:fill="A8D08D" w:themeFill="accent6" w:themeFillTint="99"/>
            <w:vAlign w:val="center"/>
          </w:tcPr>
          <w:p w14:paraId="7E999D0D"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851</w:t>
            </w:r>
          </w:p>
        </w:tc>
        <w:tc>
          <w:tcPr>
            <w:tcW w:w="1262" w:type="dxa"/>
            <w:shd w:val="clear" w:color="auto" w:fill="A8D08D" w:themeFill="accent6" w:themeFillTint="99"/>
            <w:vAlign w:val="center"/>
          </w:tcPr>
          <w:p w14:paraId="662AFD59"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808</w:t>
            </w:r>
          </w:p>
        </w:tc>
        <w:tc>
          <w:tcPr>
            <w:tcW w:w="1211" w:type="dxa"/>
            <w:shd w:val="clear" w:color="auto" w:fill="A8D08D" w:themeFill="accent6" w:themeFillTint="99"/>
            <w:vAlign w:val="center"/>
          </w:tcPr>
          <w:p w14:paraId="1A462277"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456 </w:t>
            </w:r>
          </w:p>
        </w:tc>
      </w:tr>
      <w:tr w:rsidR="00E26E3A" w:rsidRPr="00B07D79" w14:paraId="7AA90806" w14:textId="77777777" w:rsidTr="00B07D79">
        <w:trPr>
          <w:trHeight w:val="442"/>
        </w:trPr>
        <w:tc>
          <w:tcPr>
            <w:tcW w:w="2835" w:type="dxa"/>
            <w:shd w:val="clear" w:color="auto" w:fill="A8D08D" w:themeFill="accent6" w:themeFillTint="99"/>
            <w:vAlign w:val="center"/>
          </w:tcPr>
          <w:p w14:paraId="456316DD"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FCEV</w:t>
            </w:r>
          </w:p>
        </w:tc>
        <w:tc>
          <w:tcPr>
            <w:tcW w:w="1271" w:type="dxa"/>
            <w:shd w:val="clear" w:color="auto" w:fill="A8D08D" w:themeFill="accent6" w:themeFillTint="99"/>
            <w:vAlign w:val="center"/>
          </w:tcPr>
          <w:p w14:paraId="0570F29B" w14:textId="77777777" w:rsidR="00E26E3A" w:rsidRPr="00B07D79" w:rsidRDefault="00E26E3A" w:rsidP="00B07D79">
            <w:pPr>
              <w:spacing w:line="276" w:lineRule="auto"/>
              <w:jc w:val="both"/>
              <w:rPr>
                <w:rFonts w:asciiTheme="minorHAnsi" w:hAnsiTheme="minorHAnsi"/>
              </w:rPr>
            </w:pPr>
          </w:p>
        </w:tc>
        <w:tc>
          <w:tcPr>
            <w:tcW w:w="1079" w:type="dxa"/>
            <w:shd w:val="clear" w:color="auto" w:fill="A8D08D" w:themeFill="accent6" w:themeFillTint="99"/>
            <w:vAlign w:val="center"/>
          </w:tcPr>
          <w:p w14:paraId="5917E160"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1</w:t>
            </w:r>
          </w:p>
        </w:tc>
        <w:tc>
          <w:tcPr>
            <w:tcW w:w="1170" w:type="dxa"/>
            <w:shd w:val="clear" w:color="auto" w:fill="A8D08D" w:themeFill="accent6" w:themeFillTint="99"/>
            <w:vAlign w:val="center"/>
          </w:tcPr>
          <w:p w14:paraId="042DFB24"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9</w:t>
            </w:r>
          </w:p>
        </w:tc>
        <w:tc>
          <w:tcPr>
            <w:tcW w:w="1262" w:type="dxa"/>
            <w:shd w:val="clear" w:color="auto" w:fill="A8D08D" w:themeFill="accent6" w:themeFillTint="99"/>
            <w:vAlign w:val="center"/>
          </w:tcPr>
          <w:p w14:paraId="730850B1"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3</w:t>
            </w:r>
          </w:p>
        </w:tc>
        <w:tc>
          <w:tcPr>
            <w:tcW w:w="1211" w:type="dxa"/>
            <w:shd w:val="clear" w:color="auto" w:fill="A8D08D" w:themeFill="accent6" w:themeFillTint="99"/>
            <w:vAlign w:val="center"/>
          </w:tcPr>
          <w:p w14:paraId="210C947B"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rPr>
              <w:t xml:space="preserve">16 </w:t>
            </w:r>
          </w:p>
        </w:tc>
      </w:tr>
    </w:tbl>
    <w:p w14:paraId="41A5CA1C" w14:textId="2F494769" w:rsidR="00E26E3A" w:rsidRPr="00B07D79" w:rsidRDefault="00E26E3A" w:rsidP="00B07D79">
      <w:pPr>
        <w:spacing w:line="276" w:lineRule="auto"/>
        <w:jc w:val="right"/>
        <w:rPr>
          <w:rFonts w:asciiTheme="minorHAnsi" w:hAnsiTheme="minorHAnsi"/>
          <w:i/>
          <w:iCs/>
          <w:color w:val="385623" w:themeColor="accent6" w:themeShade="80"/>
          <w:sz w:val="20"/>
          <w:szCs w:val="22"/>
        </w:rPr>
      </w:pPr>
      <w:r w:rsidRPr="00B07D79">
        <w:rPr>
          <w:rFonts w:asciiTheme="minorHAnsi" w:hAnsiTheme="minorHAnsi"/>
          <w:i/>
          <w:iCs/>
          <w:color w:val="385623" w:themeColor="accent6" w:themeShade="80"/>
          <w:sz w:val="20"/>
          <w:szCs w:val="22"/>
        </w:rPr>
        <w:t xml:space="preserve">Zdroj: </w:t>
      </w:r>
      <w:hyperlink r:id="rId33" w:history="1">
        <w:r w:rsidRPr="00B07D79">
          <w:rPr>
            <w:rStyle w:val="Hypertextovodkaz"/>
            <w:rFonts w:asciiTheme="minorHAnsi" w:hAnsiTheme="minorHAnsi"/>
            <w:i/>
            <w:iCs/>
            <w:color w:val="385623" w:themeColor="accent6" w:themeShade="80"/>
            <w:sz w:val="20"/>
            <w:szCs w:val="22"/>
            <w:u w:val="none"/>
          </w:rPr>
          <w:t>www.cistadoprava.cz</w:t>
        </w:r>
      </w:hyperlink>
      <w:r w:rsidRPr="00B07D79">
        <w:rPr>
          <w:rFonts w:asciiTheme="minorHAnsi" w:hAnsiTheme="minorHAnsi"/>
          <w:i/>
          <w:iCs/>
          <w:color w:val="385623" w:themeColor="accent6" w:themeShade="80"/>
          <w:sz w:val="20"/>
          <w:szCs w:val="22"/>
        </w:rPr>
        <w:t xml:space="preserve"> </w:t>
      </w:r>
    </w:p>
    <w:p w14:paraId="3E4F2163" w14:textId="7E4BFE99" w:rsidR="00AB72FC" w:rsidRPr="00B07D79" w:rsidRDefault="002E476D" w:rsidP="00B07D79">
      <w:pPr>
        <w:spacing w:line="276" w:lineRule="auto"/>
        <w:jc w:val="both"/>
        <w:rPr>
          <w:rFonts w:asciiTheme="minorHAnsi" w:hAnsiTheme="minorHAnsi"/>
          <w:szCs w:val="20"/>
        </w:rPr>
      </w:pPr>
      <w:r w:rsidRPr="00B07D79">
        <w:rPr>
          <w:rFonts w:asciiTheme="minorHAnsi" w:hAnsiTheme="minorHAnsi"/>
        </w:rPr>
        <w:t>Největší nárůst v</w:t>
      </w:r>
      <w:r w:rsidR="00CF2351" w:rsidRPr="00B07D79">
        <w:rPr>
          <w:rFonts w:asciiTheme="minorHAnsi" w:hAnsiTheme="minorHAnsi"/>
        </w:rPr>
        <w:t> </w:t>
      </w:r>
      <w:r w:rsidRPr="00B07D79">
        <w:rPr>
          <w:rFonts w:asciiTheme="minorHAnsi" w:hAnsiTheme="minorHAnsi"/>
        </w:rPr>
        <w:t>posledních letech zažívají elektrická vozidla (BEV a</w:t>
      </w:r>
      <w:r w:rsidR="00CF2351" w:rsidRPr="00B07D79">
        <w:rPr>
          <w:rFonts w:asciiTheme="minorHAnsi" w:hAnsiTheme="minorHAnsi"/>
        </w:rPr>
        <w:t> </w:t>
      </w:r>
      <w:proofErr w:type="spellStart"/>
      <w:r w:rsidRPr="00B07D79">
        <w:rPr>
          <w:rFonts w:asciiTheme="minorHAnsi" w:hAnsiTheme="minorHAnsi"/>
        </w:rPr>
        <w:t>plug</w:t>
      </w:r>
      <w:proofErr w:type="spellEnd"/>
      <w:r w:rsidRPr="00B07D79">
        <w:rPr>
          <w:rFonts w:asciiTheme="minorHAnsi" w:hAnsiTheme="minorHAnsi"/>
        </w:rPr>
        <w:t xml:space="preserve"> in hybridy), která</w:t>
      </w:r>
      <w:r w:rsidR="003358AA" w:rsidRPr="00B07D79">
        <w:rPr>
          <w:rFonts w:asciiTheme="minorHAnsi" w:hAnsiTheme="minorHAnsi"/>
        </w:rPr>
        <w:t> </w:t>
      </w:r>
      <w:r w:rsidRPr="00B07D79">
        <w:rPr>
          <w:rFonts w:asciiTheme="minorHAnsi" w:hAnsiTheme="minorHAnsi"/>
        </w:rPr>
        <w:t>jsou pořizována zejména podnikatelskou klientelou v</w:t>
      </w:r>
      <w:r w:rsidR="00CF2351" w:rsidRPr="00B07D79">
        <w:rPr>
          <w:rFonts w:asciiTheme="minorHAnsi" w:hAnsiTheme="minorHAnsi"/>
        </w:rPr>
        <w:t> </w:t>
      </w:r>
      <w:r w:rsidRPr="00B07D79">
        <w:rPr>
          <w:rFonts w:asciiTheme="minorHAnsi" w:hAnsiTheme="minorHAnsi"/>
        </w:rPr>
        <w:t>návaznosti na nově pravidla ESG</w:t>
      </w:r>
      <w:r w:rsidRPr="00B07D79">
        <w:rPr>
          <w:rStyle w:val="Znakapoznpodarou"/>
          <w:rFonts w:asciiTheme="minorHAnsi" w:hAnsiTheme="minorHAnsi"/>
        </w:rPr>
        <w:footnoteReference w:id="22"/>
      </w:r>
      <w:r w:rsidRPr="00B07D79">
        <w:rPr>
          <w:rFonts w:asciiTheme="minorHAnsi" w:hAnsiTheme="minorHAnsi"/>
        </w:rPr>
        <w:t>. U</w:t>
      </w:r>
      <w:r w:rsidR="00CF2351" w:rsidRPr="00B07D79">
        <w:rPr>
          <w:rFonts w:asciiTheme="minorHAnsi" w:hAnsiTheme="minorHAnsi"/>
        </w:rPr>
        <w:t> </w:t>
      </w:r>
      <w:r w:rsidR="00E76C09" w:rsidRPr="00B07D79">
        <w:rPr>
          <w:rFonts w:asciiTheme="minorHAnsi" w:hAnsiTheme="minorHAnsi"/>
        </w:rPr>
        <w:t xml:space="preserve">registrací </w:t>
      </w:r>
      <w:r w:rsidRPr="00B07D79">
        <w:rPr>
          <w:rFonts w:asciiTheme="minorHAnsi" w:hAnsiTheme="minorHAnsi"/>
        </w:rPr>
        <w:t xml:space="preserve">CNG </w:t>
      </w:r>
      <w:r w:rsidR="00E76C09" w:rsidRPr="00B07D79">
        <w:rPr>
          <w:rFonts w:asciiTheme="minorHAnsi" w:hAnsiTheme="minorHAnsi"/>
        </w:rPr>
        <w:t>vozidel došlo k</w:t>
      </w:r>
      <w:r w:rsidR="00CF2351" w:rsidRPr="00B07D79">
        <w:rPr>
          <w:rFonts w:asciiTheme="minorHAnsi" w:hAnsiTheme="minorHAnsi"/>
        </w:rPr>
        <w:t> </w:t>
      </w:r>
      <w:r w:rsidR="00E76C09" w:rsidRPr="00B07D79">
        <w:rPr>
          <w:rFonts w:asciiTheme="minorHAnsi" w:hAnsiTheme="minorHAnsi"/>
        </w:rPr>
        <w:t>opětovnému poklesu</w:t>
      </w:r>
      <w:r w:rsidRPr="00B07D79">
        <w:rPr>
          <w:rFonts w:asciiTheme="minorHAnsi" w:hAnsiTheme="minorHAnsi"/>
        </w:rPr>
        <w:t xml:space="preserve"> </w:t>
      </w:r>
      <w:r w:rsidR="00E76C09" w:rsidRPr="00B07D79">
        <w:rPr>
          <w:rFonts w:asciiTheme="minorHAnsi" w:hAnsiTheme="minorHAnsi"/>
        </w:rPr>
        <w:t>i</w:t>
      </w:r>
      <w:r w:rsidR="00CF2351" w:rsidRPr="00B07D79">
        <w:rPr>
          <w:rFonts w:asciiTheme="minorHAnsi" w:hAnsiTheme="minorHAnsi"/>
        </w:rPr>
        <w:t> </w:t>
      </w:r>
      <w:r w:rsidR="00E76C09" w:rsidRPr="00B07D79">
        <w:rPr>
          <w:rFonts w:asciiTheme="minorHAnsi" w:hAnsiTheme="minorHAnsi"/>
        </w:rPr>
        <w:t xml:space="preserve">v návaznosti na snižující se </w:t>
      </w:r>
      <w:r w:rsidRPr="00B07D79">
        <w:rPr>
          <w:rFonts w:asciiTheme="minorHAnsi" w:hAnsiTheme="minorHAnsi"/>
        </w:rPr>
        <w:t>nabídk</w:t>
      </w:r>
      <w:r w:rsidR="00E76C09" w:rsidRPr="00B07D79">
        <w:rPr>
          <w:rFonts w:asciiTheme="minorHAnsi" w:hAnsiTheme="minorHAnsi"/>
        </w:rPr>
        <w:t>u</w:t>
      </w:r>
      <w:r w:rsidRPr="00B07D79">
        <w:rPr>
          <w:rFonts w:asciiTheme="minorHAnsi" w:hAnsiTheme="minorHAnsi"/>
        </w:rPr>
        <w:t xml:space="preserve"> vozidel na CNG, protože automobilky musí snižovat emise CO</w:t>
      </w:r>
      <w:r w:rsidRPr="00B07D79">
        <w:rPr>
          <w:rFonts w:asciiTheme="minorHAnsi" w:hAnsiTheme="minorHAnsi"/>
          <w:vertAlign w:val="subscript"/>
        </w:rPr>
        <w:t>2</w:t>
      </w:r>
      <w:r w:rsidRPr="00B07D79">
        <w:rPr>
          <w:rFonts w:asciiTheme="minorHAnsi" w:hAnsiTheme="minorHAnsi"/>
        </w:rPr>
        <w:t xml:space="preserve"> u</w:t>
      </w:r>
      <w:r w:rsidR="00CF2351" w:rsidRPr="00B07D79">
        <w:rPr>
          <w:rFonts w:asciiTheme="minorHAnsi" w:hAnsiTheme="minorHAnsi"/>
        </w:rPr>
        <w:t> </w:t>
      </w:r>
      <w:r w:rsidRPr="00B07D79">
        <w:rPr>
          <w:rFonts w:asciiTheme="minorHAnsi" w:hAnsiTheme="minorHAnsi"/>
        </w:rPr>
        <w:t>nového vozového parku a</w:t>
      </w:r>
      <w:r w:rsidR="00CF2351" w:rsidRPr="00B07D79">
        <w:rPr>
          <w:rFonts w:asciiTheme="minorHAnsi" w:hAnsiTheme="minorHAnsi"/>
        </w:rPr>
        <w:t> </w:t>
      </w:r>
      <w:r w:rsidRPr="00B07D79">
        <w:rPr>
          <w:rFonts w:asciiTheme="minorHAnsi" w:hAnsiTheme="minorHAnsi"/>
        </w:rPr>
        <w:t xml:space="preserve">přestavby na CNG se ekonomicky nevyplácí. </w:t>
      </w:r>
      <w:r w:rsidR="002D4ED0" w:rsidRPr="00B07D79">
        <w:rPr>
          <w:rFonts w:asciiTheme="minorHAnsi" w:hAnsiTheme="minorHAnsi"/>
        </w:rPr>
        <w:t>Přehled registrovaných CNG vozidel uvádí následující tabulka:</w:t>
      </w:r>
    </w:p>
    <w:p w14:paraId="13E65C9C" w14:textId="66487F06" w:rsidR="002D4ED0" w:rsidRPr="00B07D79" w:rsidRDefault="002D4ED0" w:rsidP="00B07D79">
      <w:pPr>
        <w:pStyle w:val="Titulek"/>
        <w:keepNext/>
        <w:spacing w:line="276" w:lineRule="auto"/>
        <w:jc w:val="both"/>
        <w:rPr>
          <w:rFonts w:asciiTheme="minorHAnsi" w:hAnsiTheme="minorHAnsi"/>
          <w:b w:val="0"/>
          <w:bCs w:val="0"/>
          <w:color w:val="385623" w:themeColor="accent6" w:themeShade="80"/>
        </w:rPr>
      </w:pPr>
      <w:r w:rsidRPr="00B07D79">
        <w:rPr>
          <w:rFonts w:asciiTheme="minorHAnsi" w:hAnsiTheme="minorHAnsi"/>
          <w:b w:val="0"/>
          <w:bCs w:val="0"/>
          <w:color w:val="385623" w:themeColor="accent6" w:themeShade="80"/>
        </w:rPr>
        <w:t xml:space="preserve">Tabulka </w:t>
      </w:r>
      <w:r w:rsidR="003D774B" w:rsidRPr="00B07D79">
        <w:rPr>
          <w:rFonts w:asciiTheme="minorHAnsi" w:hAnsiTheme="minorHAnsi"/>
          <w:b w:val="0"/>
          <w:bCs w:val="0"/>
          <w:color w:val="385623" w:themeColor="accent6" w:themeShade="80"/>
        </w:rPr>
        <w:fldChar w:fldCharType="begin"/>
      </w:r>
      <w:r w:rsidR="003D774B" w:rsidRPr="00B07D79">
        <w:rPr>
          <w:rFonts w:asciiTheme="minorHAnsi" w:hAnsiTheme="minorHAnsi"/>
          <w:b w:val="0"/>
          <w:bCs w:val="0"/>
          <w:color w:val="385623" w:themeColor="accent6" w:themeShade="80"/>
        </w:rPr>
        <w:instrText xml:space="preserve"> SEQ Tabulka \* ARABIC </w:instrText>
      </w:r>
      <w:r w:rsidR="003D774B" w:rsidRPr="00B07D79">
        <w:rPr>
          <w:rFonts w:asciiTheme="minorHAnsi" w:hAnsiTheme="minorHAnsi"/>
          <w:b w:val="0"/>
          <w:bCs w:val="0"/>
          <w:color w:val="385623" w:themeColor="accent6" w:themeShade="80"/>
        </w:rPr>
        <w:fldChar w:fldCharType="separate"/>
      </w:r>
      <w:r w:rsidR="00D61B36" w:rsidRPr="00B07D79">
        <w:rPr>
          <w:rFonts w:asciiTheme="minorHAnsi" w:hAnsiTheme="minorHAnsi"/>
          <w:b w:val="0"/>
          <w:bCs w:val="0"/>
          <w:noProof/>
          <w:color w:val="385623" w:themeColor="accent6" w:themeShade="80"/>
        </w:rPr>
        <w:t>2</w:t>
      </w:r>
      <w:r w:rsidR="003D774B" w:rsidRPr="00B07D79">
        <w:rPr>
          <w:rFonts w:asciiTheme="minorHAnsi" w:hAnsiTheme="minorHAnsi"/>
          <w:b w:val="0"/>
          <w:bCs w:val="0"/>
          <w:noProof/>
          <w:color w:val="385623" w:themeColor="accent6" w:themeShade="80"/>
        </w:rPr>
        <w:fldChar w:fldCharType="end"/>
      </w:r>
      <w:r w:rsidRPr="00B07D79">
        <w:rPr>
          <w:rFonts w:asciiTheme="minorHAnsi" w:hAnsiTheme="minorHAnsi"/>
          <w:b w:val="0"/>
          <w:bCs w:val="0"/>
          <w:color w:val="385623" w:themeColor="accent6" w:themeShade="80"/>
        </w:rPr>
        <w:t xml:space="preserve"> Počet registrovaných CNG vozidel (ke konci roku 202</w:t>
      </w:r>
      <w:r w:rsidR="00200A8E" w:rsidRPr="00B07D79">
        <w:rPr>
          <w:rFonts w:asciiTheme="minorHAnsi" w:hAnsiTheme="minorHAnsi"/>
          <w:b w:val="0"/>
          <w:bCs w:val="0"/>
          <w:color w:val="385623" w:themeColor="accent6" w:themeShade="80"/>
        </w:rPr>
        <w:t>3</w:t>
      </w:r>
      <w:r w:rsidRPr="00B07D79">
        <w:rPr>
          <w:rFonts w:asciiTheme="minorHAnsi" w:hAnsiTheme="minorHAnsi"/>
          <w:b w:val="0"/>
          <w:bCs w:val="0"/>
          <w:color w:val="385623" w:themeColor="accent6" w:themeShade="80"/>
        </w:rPr>
        <w:t>)</w:t>
      </w:r>
    </w:p>
    <w:tbl>
      <w:tblPr>
        <w:tblW w:w="907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03"/>
        <w:gridCol w:w="2268"/>
      </w:tblGrid>
      <w:tr w:rsidR="002D4ED0" w:rsidRPr="00B07D79" w14:paraId="08957663" w14:textId="77777777" w:rsidTr="00B07D79">
        <w:trPr>
          <w:trHeight w:val="567"/>
          <w:tblHeader/>
        </w:trPr>
        <w:tc>
          <w:tcPr>
            <w:tcW w:w="6803" w:type="dxa"/>
            <w:tcBorders>
              <w:top w:val="single" w:sz="6" w:space="0" w:color="FFFFFF"/>
              <w:left w:val="single" w:sz="6" w:space="0" w:color="FFFFFF"/>
              <w:bottom w:val="single" w:sz="6" w:space="0" w:color="FFFFFF"/>
              <w:right w:val="single" w:sz="6" w:space="0" w:color="FFFFFF"/>
            </w:tcBorders>
            <w:shd w:val="clear" w:color="auto" w:fill="70AD47" w:themeFill="accent6"/>
            <w:vAlign w:val="center"/>
            <w:hideMark/>
          </w:tcPr>
          <w:p w14:paraId="077B8060" w14:textId="77777777" w:rsidR="002D4ED0" w:rsidRPr="00B07D79" w:rsidRDefault="002D4ED0"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Kategorie</w:t>
            </w:r>
          </w:p>
        </w:tc>
        <w:tc>
          <w:tcPr>
            <w:tcW w:w="2268" w:type="dxa"/>
            <w:tcBorders>
              <w:top w:val="single" w:sz="6" w:space="0" w:color="FFFFFF"/>
              <w:left w:val="single" w:sz="6" w:space="0" w:color="FFFFFF"/>
              <w:bottom w:val="single" w:sz="6" w:space="0" w:color="FFFFFF"/>
              <w:right w:val="single" w:sz="6" w:space="0" w:color="FFFFFF"/>
            </w:tcBorders>
            <w:shd w:val="clear" w:color="auto" w:fill="70AD47" w:themeFill="accent6"/>
            <w:vAlign w:val="center"/>
            <w:hideMark/>
          </w:tcPr>
          <w:p w14:paraId="27F8A317" w14:textId="77777777" w:rsidR="002D4ED0" w:rsidRPr="00B07D79" w:rsidRDefault="002D4ED0" w:rsidP="00B07D79">
            <w:pPr>
              <w:spacing w:line="276" w:lineRule="auto"/>
              <w:jc w:val="both"/>
              <w:rPr>
                <w:rFonts w:asciiTheme="minorHAnsi" w:hAnsiTheme="minorHAnsi"/>
                <w:color w:val="000000" w:themeColor="text1"/>
              </w:rPr>
            </w:pPr>
            <w:r w:rsidRPr="00B07D79">
              <w:rPr>
                <w:rFonts w:asciiTheme="minorHAnsi" w:hAnsiTheme="minorHAnsi"/>
                <w:color w:val="000000" w:themeColor="text1"/>
              </w:rPr>
              <w:t>Počet registrací</w:t>
            </w:r>
          </w:p>
        </w:tc>
      </w:tr>
      <w:tr w:rsidR="002D4ED0" w:rsidRPr="00B07D79" w14:paraId="15D448E8"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68EB5CF3"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osobní automobily</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2859BDD4" w14:textId="4ACA64B0" w:rsidR="002D4ED0" w:rsidRPr="00B07D79" w:rsidRDefault="00200A8E" w:rsidP="00B07D79">
            <w:pPr>
              <w:spacing w:line="276" w:lineRule="auto"/>
              <w:jc w:val="both"/>
              <w:rPr>
                <w:rFonts w:asciiTheme="minorHAnsi" w:hAnsiTheme="minorHAnsi"/>
              </w:rPr>
            </w:pPr>
            <w:r w:rsidRPr="00B07D79">
              <w:rPr>
                <w:rFonts w:asciiTheme="minorHAnsi" w:hAnsiTheme="minorHAnsi"/>
              </w:rPr>
              <w:t>23 023</w:t>
            </w:r>
          </w:p>
        </w:tc>
      </w:tr>
      <w:tr w:rsidR="002D4ED0" w:rsidRPr="00B07D79" w14:paraId="47231DB7"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0BFDAC6C"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autobusy</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1DCC714B" w14:textId="2C300751" w:rsidR="002D4ED0" w:rsidRPr="00B07D79" w:rsidRDefault="00200A8E" w:rsidP="00B07D79">
            <w:pPr>
              <w:spacing w:line="276" w:lineRule="auto"/>
              <w:jc w:val="both"/>
              <w:rPr>
                <w:rFonts w:asciiTheme="minorHAnsi" w:hAnsiTheme="minorHAnsi"/>
              </w:rPr>
            </w:pPr>
            <w:r w:rsidRPr="00B07D79">
              <w:rPr>
                <w:rFonts w:asciiTheme="minorHAnsi" w:hAnsiTheme="minorHAnsi"/>
              </w:rPr>
              <w:t>1 941</w:t>
            </w:r>
          </w:p>
        </w:tc>
      </w:tr>
      <w:tr w:rsidR="002D4ED0" w:rsidRPr="00B07D79" w14:paraId="5BD97ECB"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2937DCA9"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užitková vozidla do 3,5 t</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5F18F770" w14:textId="4450395E" w:rsidR="002D4ED0" w:rsidRPr="00B07D79" w:rsidRDefault="00200A8E" w:rsidP="00B07D79">
            <w:pPr>
              <w:spacing w:line="276" w:lineRule="auto"/>
              <w:jc w:val="both"/>
              <w:rPr>
                <w:rFonts w:asciiTheme="minorHAnsi" w:hAnsiTheme="minorHAnsi"/>
              </w:rPr>
            </w:pPr>
            <w:r w:rsidRPr="00B07D79">
              <w:rPr>
                <w:rFonts w:asciiTheme="minorHAnsi" w:hAnsiTheme="minorHAnsi"/>
              </w:rPr>
              <w:t>4 999</w:t>
            </w:r>
          </w:p>
        </w:tc>
      </w:tr>
      <w:tr w:rsidR="002D4ED0" w:rsidRPr="00B07D79" w14:paraId="151DA145"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41E21C4B"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nákladní vozidla do 12 t</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1A644E54" w14:textId="4E709B2A" w:rsidR="002D4ED0" w:rsidRPr="00B07D79" w:rsidRDefault="00200A8E" w:rsidP="00B07D79">
            <w:pPr>
              <w:spacing w:line="276" w:lineRule="auto"/>
              <w:jc w:val="both"/>
              <w:rPr>
                <w:rFonts w:asciiTheme="minorHAnsi" w:hAnsiTheme="minorHAnsi"/>
              </w:rPr>
            </w:pPr>
            <w:r w:rsidRPr="00B07D79">
              <w:rPr>
                <w:rFonts w:asciiTheme="minorHAnsi" w:hAnsiTheme="minorHAnsi"/>
              </w:rPr>
              <w:t>229</w:t>
            </w:r>
          </w:p>
        </w:tc>
      </w:tr>
      <w:tr w:rsidR="002D4ED0" w:rsidRPr="00B07D79" w14:paraId="632B1F02"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2CC082C0"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nákladní vozidla nad 12 t</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7064B971" w14:textId="29D44CE7" w:rsidR="002D4ED0" w:rsidRPr="00B07D79" w:rsidRDefault="00200A8E" w:rsidP="00B07D79">
            <w:pPr>
              <w:spacing w:line="276" w:lineRule="auto"/>
              <w:jc w:val="both"/>
              <w:rPr>
                <w:rFonts w:asciiTheme="minorHAnsi" w:hAnsiTheme="minorHAnsi"/>
              </w:rPr>
            </w:pPr>
            <w:r w:rsidRPr="00B07D79">
              <w:rPr>
                <w:rFonts w:asciiTheme="minorHAnsi" w:hAnsiTheme="minorHAnsi"/>
              </w:rPr>
              <w:t>254</w:t>
            </w:r>
          </w:p>
        </w:tc>
      </w:tr>
      <w:tr w:rsidR="002D4ED0" w:rsidRPr="00B07D79" w14:paraId="6F533490"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08516C6B"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ostatní</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36B8EC6F" w14:textId="22FD9410" w:rsidR="002D4ED0" w:rsidRPr="00B07D79" w:rsidRDefault="00200A8E" w:rsidP="00B07D79">
            <w:pPr>
              <w:spacing w:line="276" w:lineRule="auto"/>
              <w:jc w:val="both"/>
              <w:rPr>
                <w:rFonts w:asciiTheme="minorHAnsi" w:hAnsiTheme="minorHAnsi"/>
              </w:rPr>
            </w:pPr>
            <w:r w:rsidRPr="00B07D79">
              <w:rPr>
                <w:rFonts w:asciiTheme="minorHAnsi" w:hAnsiTheme="minorHAnsi"/>
              </w:rPr>
              <w:t>10</w:t>
            </w:r>
          </w:p>
        </w:tc>
      </w:tr>
      <w:tr w:rsidR="002D4ED0" w:rsidRPr="00B07D79" w14:paraId="2B02DA6E" w14:textId="77777777" w:rsidTr="00B07D79">
        <w:trPr>
          <w:trHeight w:val="397"/>
        </w:trPr>
        <w:tc>
          <w:tcPr>
            <w:tcW w:w="6803"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66147B23" w14:textId="77777777" w:rsidR="002D4ED0" w:rsidRPr="00B07D79" w:rsidRDefault="002D4ED0" w:rsidP="00B07D79">
            <w:pPr>
              <w:spacing w:line="276" w:lineRule="auto"/>
              <w:jc w:val="both"/>
              <w:rPr>
                <w:rFonts w:asciiTheme="minorHAnsi" w:hAnsiTheme="minorHAnsi"/>
              </w:rPr>
            </w:pPr>
            <w:r w:rsidRPr="00B07D79">
              <w:rPr>
                <w:rFonts w:asciiTheme="minorHAnsi" w:hAnsiTheme="minorHAnsi"/>
              </w:rPr>
              <w:t>celkem</w:t>
            </w:r>
          </w:p>
        </w:tc>
        <w:tc>
          <w:tcPr>
            <w:tcW w:w="2268" w:type="dxa"/>
            <w:tcBorders>
              <w:top w:val="single" w:sz="6" w:space="0" w:color="FFFFFF"/>
              <w:left w:val="single" w:sz="6" w:space="0" w:color="FFFFFF"/>
              <w:bottom w:val="single" w:sz="6" w:space="0" w:color="FFFFFF"/>
              <w:right w:val="single" w:sz="6" w:space="0" w:color="FFFFFF"/>
            </w:tcBorders>
            <w:shd w:val="clear" w:color="auto" w:fill="A8D08D" w:themeFill="accent6" w:themeFillTint="99"/>
          </w:tcPr>
          <w:p w14:paraId="3AC4CD40" w14:textId="4C0D443A" w:rsidR="002D4ED0" w:rsidRPr="00B07D79" w:rsidRDefault="002D4ED0" w:rsidP="00B07D79">
            <w:pPr>
              <w:spacing w:line="276" w:lineRule="auto"/>
              <w:jc w:val="both"/>
              <w:rPr>
                <w:rFonts w:asciiTheme="minorHAnsi" w:hAnsiTheme="minorHAnsi"/>
              </w:rPr>
            </w:pPr>
            <w:r w:rsidRPr="00B07D79">
              <w:rPr>
                <w:rFonts w:asciiTheme="minorHAnsi" w:hAnsiTheme="minorHAnsi"/>
              </w:rPr>
              <w:t xml:space="preserve">30 </w:t>
            </w:r>
            <w:r w:rsidR="00200A8E" w:rsidRPr="00B07D79">
              <w:rPr>
                <w:rFonts w:asciiTheme="minorHAnsi" w:hAnsiTheme="minorHAnsi"/>
              </w:rPr>
              <w:t>456</w:t>
            </w:r>
          </w:p>
        </w:tc>
      </w:tr>
    </w:tbl>
    <w:p w14:paraId="23B3DC0F" w14:textId="63E3D2D2" w:rsidR="002E476D" w:rsidRPr="00B07D79" w:rsidRDefault="00200A8E" w:rsidP="00B07D79">
      <w:pPr>
        <w:spacing w:line="276" w:lineRule="auto"/>
        <w:jc w:val="both"/>
        <w:rPr>
          <w:rFonts w:asciiTheme="minorHAnsi" w:hAnsiTheme="minorHAnsi"/>
        </w:rPr>
      </w:pPr>
      <w:r w:rsidRPr="00B07D79">
        <w:rPr>
          <w:rFonts w:asciiTheme="minorHAnsi" w:hAnsiTheme="minorHAnsi"/>
        </w:rPr>
        <w:t>Také u</w:t>
      </w:r>
      <w:r w:rsidR="00CF2351" w:rsidRPr="00B07D79">
        <w:rPr>
          <w:rFonts w:asciiTheme="minorHAnsi" w:hAnsiTheme="minorHAnsi"/>
        </w:rPr>
        <w:t> </w:t>
      </w:r>
      <w:r w:rsidR="002E476D" w:rsidRPr="00B07D79">
        <w:rPr>
          <w:rFonts w:asciiTheme="minorHAnsi" w:hAnsiTheme="minorHAnsi"/>
        </w:rPr>
        <w:t xml:space="preserve">LPG </w:t>
      </w:r>
      <w:r w:rsidR="00E76C09" w:rsidRPr="00B07D79">
        <w:rPr>
          <w:rFonts w:asciiTheme="minorHAnsi" w:hAnsiTheme="minorHAnsi"/>
        </w:rPr>
        <w:t>jsme zaznamenali pokles zájmu. Nabídka vozidel využívající toto palivo je malá.</w:t>
      </w:r>
      <w:r w:rsidR="002E476D" w:rsidRPr="00B07D79">
        <w:rPr>
          <w:rFonts w:asciiTheme="minorHAnsi" w:hAnsiTheme="minorHAnsi"/>
        </w:rPr>
        <w:t xml:space="preserve"> U</w:t>
      </w:r>
      <w:r w:rsidR="00CF2351" w:rsidRPr="00B07D79">
        <w:rPr>
          <w:rFonts w:asciiTheme="minorHAnsi" w:hAnsiTheme="minorHAnsi"/>
        </w:rPr>
        <w:t> </w:t>
      </w:r>
      <w:r w:rsidR="002E476D" w:rsidRPr="00B07D79">
        <w:rPr>
          <w:rFonts w:asciiTheme="minorHAnsi" w:hAnsiTheme="minorHAnsi"/>
        </w:rPr>
        <w:t>vodíkových vozidel byly minimální prodej</w:t>
      </w:r>
      <w:r w:rsidR="00F55260" w:rsidRPr="00B07D79">
        <w:rPr>
          <w:rFonts w:asciiTheme="minorHAnsi" w:hAnsiTheme="minorHAnsi"/>
        </w:rPr>
        <w:t>e</w:t>
      </w:r>
      <w:r w:rsidR="002E476D" w:rsidRPr="00B07D79">
        <w:rPr>
          <w:rFonts w:asciiTheme="minorHAnsi" w:hAnsiTheme="minorHAnsi"/>
        </w:rPr>
        <w:t xml:space="preserve"> dány chybějící infrastrukturou. Až v</w:t>
      </w:r>
      <w:r w:rsidR="00CF2351" w:rsidRPr="00B07D79">
        <w:rPr>
          <w:rFonts w:asciiTheme="minorHAnsi" w:hAnsiTheme="minorHAnsi"/>
        </w:rPr>
        <w:t> </w:t>
      </w:r>
      <w:r w:rsidR="002E476D" w:rsidRPr="00B07D79">
        <w:rPr>
          <w:rFonts w:asciiTheme="minorHAnsi" w:hAnsiTheme="minorHAnsi"/>
        </w:rPr>
        <w:t>roce 2022 a</w:t>
      </w:r>
      <w:r w:rsidR="00CF2351" w:rsidRPr="00B07D79">
        <w:rPr>
          <w:rFonts w:asciiTheme="minorHAnsi" w:hAnsiTheme="minorHAnsi"/>
        </w:rPr>
        <w:t> </w:t>
      </w:r>
      <w:r w:rsidR="002E476D" w:rsidRPr="00B07D79">
        <w:rPr>
          <w:rFonts w:asciiTheme="minorHAnsi" w:hAnsiTheme="minorHAnsi"/>
        </w:rPr>
        <w:t xml:space="preserve">2023 byly zprovozněny první vodíkové veřejné plničky. </w:t>
      </w:r>
    </w:p>
    <w:p w14:paraId="6C47F221" w14:textId="77777777" w:rsidR="000E5B59" w:rsidRPr="000E5B59" w:rsidRDefault="000E5B59" w:rsidP="000E5B59">
      <w:pPr>
        <w:pStyle w:val="Odstavecseseznamem"/>
        <w:keepNext/>
        <w:numPr>
          <w:ilvl w:val="0"/>
          <w:numId w:val="154"/>
        </w:numPr>
        <w:spacing w:before="240" w:after="240"/>
        <w:contextualSpacing w:val="0"/>
        <w:outlineLvl w:val="1"/>
        <w:rPr>
          <w:rFonts w:asciiTheme="minorHAnsi" w:hAnsiTheme="minorHAnsi" w:cs="Arial"/>
          <w:vanish/>
          <w:color w:val="538135" w:themeColor="accent6" w:themeShade="BF"/>
          <w:sz w:val="28"/>
          <w:szCs w:val="32"/>
        </w:rPr>
      </w:pPr>
      <w:bookmarkStart w:id="223" w:name="_Toc159332165"/>
      <w:bookmarkStart w:id="224" w:name="_Toc159336646"/>
      <w:bookmarkStart w:id="225" w:name="_Toc160021749"/>
      <w:bookmarkStart w:id="226" w:name="_Toc162447439"/>
      <w:bookmarkStart w:id="227" w:name="_Toc173240074"/>
    </w:p>
    <w:p w14:paraId="2E20D091" w14:textId="046686A4" w:rsidR="00E26E3A" w:rsidRPr="009D0E24" w:rsidRDefault="00B81129" w:rsidP="000E5B59">
      <w:pPr>
        <w:pStyle w:val="Nadpis2"/>
        <w:rPr>
          <w:rFonts w:eastAsia="Arial"/>
          <w:sz w:val="32"/>
          <w:szCs w:val="36"/>
        </w:rPr>
      </w:pPr>
      <w:r w:rsidRPr="009D0E24">
        <w:rPr>
          <w:sz w:val="32"/>
          <w:szCs w:val="36"/>
        </w:rPr>
        <w:t xml:space="preserve">Elektrická </w:t>
      </w:r>
      <w:r w:rsidR="0097152B" w:rsidRPr="009D0E24">
        <w:rPr>
          <w:sz w:val="32"/>
          <w:szCs w:val="36"/>
        </w:rPr>
        <w:t>vozidla – evropský</w:t>
      </w:r>
      <w:r w:rsidR="00E26E3A" w:rsidRPr="009D0E24">
        <w:rPr>
          <w:sz w:val="32"/>
          <w:szCs w:val="36"/>
        </w:rPr>
        <w:t xml:space="preserve"> kontext</w:t>
      </w:r>
      <w:bookmarkEnd w:id="223"/>
      <w:bookmarkEnd w:id="224"/>
      <w:bookmarkEnd w:id="225"/>
      <w:bookmarkEnd w:id="226"/>
      <w:bookmarkEnd w:id="227"/>
    </w:p>
    <w:p w14:paraId="3BEE0648" w14:textId="2BCBBE77" w:rsidR="00E26E3A" w:rsidRPr="00B07D79" w:rsidRDefault="00E26E3A" w:rsidP="00B07D79">
      <w:pPr>
        <w:spacing w:line="276" w:lineRule="auto"/>
        <w:jc w:val="both"/>
        <w:rPr>
          <w:rFonts w:asciiTheme="minorHAnsi" w:eastAsia="Arial" w:hAnsiTheme="minorHAnsi"/>
          <w:i/>
          <w:iCs/>
          <w:szCs w:val="26"/>
        </w:rPr>
      </w:pPr>
      <w:r w:rsidRPr="00B07D79">
        <w:rPr>
          <w:rFonts w:asciiTheme="minorHAnsi" w:eastAsia="Arial" w:hAnsiTheme="minorHAnsi" w:cs="Arial"/>
          <w:szCs w:val="22"/>
        </w:rPr>
        <w:t>Data v</w:t>
      </w:r>
      <w:r w:rsidR="00CF2351" w:rsidRPr="00B07D79">
        <w:rPr>
          <w:rFonts w:asciiTheme="minorHAnsi" w:eastAsia="Arial" w:hAnsiTheme="minorHAnsi" w:cs="Arial"/>
          <w:szCs w:val="22"/>
        </w:rPr>
        <w:t> </w:t>
      </w:r>
      <w:r w:rsidRPr="00B07D79">
        <w:rPr>
          <w:rFonts w:asciiTheme="minorHAnsi" w:eastAsia="Arial" w:hAnsiTheme="minorHAnsi" w:cs="Arial"/>
          <w:szCs w:val="22"/>
        </w:rPr>
        <w:t>této kapitole vycházejí z</w:t>
      </w:r>
      <w:r w:rsidR="00CF2351" w:rsidRPr="00B07D79">
        <w:rPr>
          <w:rFonts w:asciiTheme="minorHAnsi" w:eastAsia="Arial" w:hAnsiTheme="minorHAnsi" w:cs="Arial"/>
          <w:szCs w:val="22"/>
        </w:rPr>
        <w:t> </w:t>
      </w:r>
      <w:r w:rsidRPr="00B07D79">
        <w:rPr>
          <w:rFonts w:asciiTheme="minorHAnsi" w:eastAsia="Arial" w:hAnsiTheme="minorHAnsi" w:cs="Arial"/>
          <w:szCs w:val="22"/>
        </w:rPr>
        <w:t>přírůstků nových vozidel registrovaných v</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zemích Evropské unie, </w:t>
      </w:r>
      <w:r w:rsidRPr="00B07D79">
        <w:rPr>
          <w:rFonts w:asciiTheme="minorHAnsi" w:eastAsia="Arial" w:hAnsiTheme="minorHAnsi" w:cs="Arial"/>
          <w:i/>
          <w:iCs/>
          <w:szCs w:val="22"/>
        </w:rPr>
        <w:t xml:space="preserve">zdroj vstupních dat: ACEA </w:t>
      </w:r>
      <w:r w:rsidR="00346DDE" w:rsidRPr="00B07D79">
        <w:rPr>
          <w:rFonts w:asciiTheme="minorHAnsi" w:hAnsiTheme="minorHAnsi"/>
        </w:rPr>
        <w:t>–</w:t>
      </w:r>
      <w:r w:rsidRPr="00B07D79">
        <w:rPr>
          <w:rFonts w:asciiTheme="minorHAnsi" w:eastAsia="Arial" w:hAnsiTheme="minorHAnsi" w:cs="Arial"/>
          <w:i/>
          <w:iCs/>
          <w:szCs w:val="22"/>
        </w:rPr>
        <w:t xml:space="preserve"> </w:t>
      </w:r>
      <w:r w:rsidRPr="00B07D79">
        <w:rPr>
          <w:rFonts w:asciiTheme="minorHAnsi" w:eastAsia="Arial" w:hAnsiTheme="minorHAnsi" w:cs="Arial"/>
          <w:i/>
          <w:iCs/>
          <w:szCs w:val="22"/>
          <w:lang w:val="en-GB"/>
        </w:rPr>
        <w:t>European Automobile Manufacturers' Association</w:t>
      </w:r>
      <w:r w:rsidRPr="00B07D79">
        <w:rPr>
          <w:rFonts w:asciiTheme="minorHAnsi" w:eastAsia="Arial" w:hAnsiTheme="minorHAnsi" w:cs="Arial"/>
          <w:szCs w:val="22"/>
          <w:lang w:val="en-GB"/>
        </w:rPr>
        <w:t>,</w:t>
      </w:r>
      <w:r w:rsidRPr="00B07D79">
        <w:rPr>
          <w:rFonts w:asciiTheme="minorHAnsi" w:eastAsia="Arial" w:hAnsiTheme="minorHAnsi" w:cs="Arial"/>
          <w:szCs w:val="22"/>
        </w:rPr>
        <w:t xml:space="preserve"> </w:t>
      </w:r>
      <w:r w:rsidRPr="00B07D79">
        <w:rPr>
          <w:rFonts w:asciiTheme="minorHAnsi" w:eastAsia="Arial" w:hAnsiTheme="minorHAnsi" w:cs="Arial"/>
          <w:i/>
          <w:iCs/>
          <w:szCs w:val="22"/>
        </w:rPr>
        <w:t>vizualizace: web Čistá doprava (CDV).</w:t>
      </w:r>
    </w:p>
    <w:p w14:paraId="3573D1CF" w14:textId="77777777"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Osobní vozidla</w:t>
      </w:r>
    </w:p>
    <w:p w14:paraId="3744C5AC" w14:textId="611E5687"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V zemích EU bylo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registrováno cca 10,5 mil nových osobních vozidel. Vývoj jednotlivých druhů paliv je pak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grafu uvedeného níže. Každoročně dochází k</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postupnému snižování podílů </w:t>
      </w:r>
      <w:r w:rsidRPr="00B07D79">
        <w:rPr>
          <w:rFonts w:asciiTheme="minorHAnsi" w:eastAsia="Arial" w:hAnsiTheme="minorHAnsi" w:cs="Arial"/>
          <w:szCs w:val="22"/>
        </w:rPr>
        <w:lastRenderedPageBreak/>
        <w:t>benzínových a</w:t>
      </w:r>
      <w:r w:rsidR="00CF2351" w:rsidRPr="00B07D79">
        <w:rPr>
          <w:rFonts w:asciiTheme="minorHAnsi" w:eastAsia="Arial" w:hAnsiTheme="minorHAnsi" w:cs="Arial"/>
          <w:szCs w:val="22"/>
        </w:rPr>
        <w:t> </w:t>
      </w:r>
      <w:r w:rsidRPr="00B07D79">
        <w:rPr>
          <w:rFonts w:asciiTheme="minorHAnsi" w:eastAsia="Arial" w:hAnsiTheme="minorHAnsi" w:cs="Arial"/>
          <w:szCs w:val="22"/>
        </w:rPr>
        <w:t>naftových vozidel na úkor těch elektrických.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se BEV podílela 14,6 %, PHEV pak 7,7 %.</w:t>
      </w:r>
    </w:p>
    <w:p w14:paraId="6460184C" w14:textId="244C04F2" w:rsidR="00E26E3A" w:rsidRPr="000E5B59" w:rsidRDefault="00E26E3A"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color w:val="385623" w:themeColor="accent6" w:themeShade="80"/>
        </w:rPr>
        <w:t xml:space="preserve">Obrázek </w:t>
      </w:r>
      <w:r w:rsidR="003A7DBF" w:rsidRPr="000E5B59">
        <w:rPr>
          <w:rFonts w:asciiTheme="minorHAnsi" w:hAnsiTheme="minorHAnsi"/>
          <w:b w:val="0"/>
          <w:bCs w:val="0"/>
          <w:color w:val="385623" w:themeColor="accent6" w:themeShade="80"/>
        </w:rPr>
        <w:t>10</w:t>
      </w:r>
      <w:r w:rsidRPr="000E5B59">
        <w:rPr>
          <w:rFonts w:asciiTheme="minorHAnsi" w:hAnsiTheme="minorHAnsi"/>
          <w:b w:val="0"/>
          <w:bCs w:val="0"/>
          <w:color w:val="385623" w:themeColor="accent6" w:themeShade="80"/>
        </w:rPr>
        <w:t xml:space="preserve"> Vývoj podílů registrací nových osobních vozidel dle typu paliva</w:t>
      </w:r>
    </w:p>
    <w:p w14:paraId="2F53CFA3" w14:textId="77777777" w:rsidR="00E26E3A" w:rsidRPr="00B07D79" w:rsidRDefault="008D3A19" w:rsidP="00B07D79">
      <w:pPr>
        <w:keepNext/>
        <w:spacing w:line="276" w:lineRule="auto"/>
        <w:jc w:val="both"/>
        <w:rPr>
          <w:rFonts w:asciiTheme="minorHAnsi" w:hAnsiTheme="minorHAnsi"/>
        </w:rPr>
      </w:pPr>
      <w:r w:rsidRPr="00B07D79">
        <w:rPr>
          <w:rFonts w:asciiTheme="minorHAnsi" w:hAnsiTheme="minorHAnsi"/>
          <w:noProof/>
        </w:rPr>
        <w:drawing>
          <wp:inline distT="0" distB="0" distL="0" distR="0" wp14:anchorId="3D51708A" wp14:editId="552FAA6D">
            <wp:extent cx="5710376" cy="2373020"/>
            <wp:effectExtent l="0" t="0" r="5080" b="8255"/>
            <wp:docPr id="841992917" name="Obrázek 84199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1532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26663" cy="2379788"/>
                    </a:xfrm>
                    <a:prstGeom prst="rect">
                      <a:avLst/>
                    </a:prstGeom>
                  </pic:spPr>
                </pic:pic>
              </a:graphicData>
            </a:graphic>
          </wp:inline>
        </w:drawing>
      </w:r>
    </w:p>
    <w:p w14:paraId="3CBBFB37" w14:textId="78D28A41" w:rsidR="00E26E3A" w:rsidRPr="000E5B59" w:rsidRDefault="00E26E3A" w:rsidP="000E5B59">
      <w:pPr>
        <w:keepNext/>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w:t>
      </w:r>
      <w:r w:rsidR="008D3A19" w:rsidRPr="000E5B59">
        <w:rPr>
          <w:rFonts w:asciiTheme="minorHAnsi" w:eastAsia="Arial" w:hAnsiTheme="minorHAnsi" w:cs="Arial"/>
          <w:i/>
          <w:iCs/>
          <w:color w:val="385623" w:themeColor="accent6" w:themeShade="80"/>
          <w:sz w:val="20"/>
          <w:szCs w:val="20"/>
        </w:rPr>
        <w:t>Centrum</w:t>
      </w:r>
      <w:hyperlink r:id="rId35" w:history="1">
        <w:r w:rsidR="002041A7" w:rsidRPr="000E5B59">
          <w:rPr>
            <w:rStyle w:val="Hypertextovodkaz"/>
            <w:rFonts w:asciiTheme="minorHAnsi" w:hAnsiTheme="minorHAnsi"/>
            <w:i/>
            <w:iCs/>
            <w:color w:val="385623" w:themeColor="accent6" w:themeShade="80"/>
            <w:sz w:val="20"/>
            <w:szCs w:val="22"/>
            <w:u w:val="none"/>
          </w:rPr>
          <w:t>www.cistadoprava.cz</w:t>
        </w:r>
      </w:hyperlink>
      <w:r w:rsidR="00BF0350" w:rsidRPr="000E5B59">
        <w:rPr>
          <w:rFonts w:asciiTheme="minorHAnsi" w:hAnsiTheme="minorHAnsi"/>
          <w:i/>
          <w:iCs/>
          <w:color w:val="385623" w:themeColor="accent6" w:themeShade="80"/>
          <w:sz w:val="20"/>
          <w:szCs w:val="22"/>
        </w:rPr>
        <w:t xml:space="preserve"> </w:t>
      </w:r>
      <w:r w:rsidR="002041A7" w:rsidRPr="000E5B59">
        <w:rPr>
          <w:rFonts w:asciiTheme="minorHAnsi" w:eastAsia="Arial" w:hAnsiTheme="minorHAnsi" w:cs="Arial"/>
          <w:i/>
          <w:iCs/>
          <w:color w:val="385623" w:themeColor="accent6" w:themeShade="80"/>
          <w:sz w:val="20"/>
          <w:szCs w:val="20"/>
        </w:rPr>
        <w:t>(CDV, ACEA)</w:t>
      </w:r>
    </w:p>
    <w:p w14:paraId="505795C3" w14:textId="53CF000D" w:rsidR="00E26E3A" w:rsidRPr="005E2F84"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Český trh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w:t>
      </w:r>
      <w:r w:rsidR="00CF2351" w:rsidRPr="00B07D79">
        <w:rPr>
          <w:rFonts w:asciiTheme="minorHAnsi" w:eastAsia="Arial" w:hAnsiTheme="minorHAnsi" w:cs="Arial"/>
          <w:szCs w:val="22"/>
        </w:rPr>
        <w:t> </w:t>
      </w:r>
      <w:r w:rsidRPr="00B07D79">
        <w:rPr>
          <w:rFonts w:asciiTheme="minorHAnsi" w:eastAsia="Arial" w:hAnsiTheme="minorHAnsi" w:cs="Arial"/>
          <w:szCs w:val="22"/>
        </w:rPr>
        <w:t>novými osobními vozidly byl 10. největší mezi zeměmi EU. Pokud však jde o</w:t>
      </w:r>
      <w:r w:rsidR="00CF2351" w:rsidRPr="00B07D79">
        <w:rPr>
          <w:rFonts w:asciiTheme="minorHAnsi" w:eastAsia="Arial" w:hAnsiTheme="minorHAnsi" w:cs="Arial"/>
          <w:szCs w:val="22"/>
        </w:rPr>
        <w:t> </w:t>
      </w:r>
      <w:r w:rsidRPr="00B07D79">
        <w:rPr>
          <w:rFonts w:asciiTheme="minorHAnsi" w:eastAsia="Arial" w:hAnsiTheme="minorHAnsi" w:cs="Arial"/>
          <w:szCs w:val="22"/>
        </w:rPr>
        <w:t>podíl tak 3,03 % BEV a</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1,8 % PHEV nás řadilo na </w:t>
      </w:r>
      <w:r w:rsidR="00C17974" w:rsidRPr="00B07D79">
        <w:rPr>
          <w:rFonts w:asciiTheme="minorHAnsi" w:eastAsia="Arial" w:hAnsiTheme="minorHAnsi" w:cs="Arial"/>
          <w:szCs w:val="22"/>
        </w:rPr>
        <w:t xml:space="preserve">druhé </w:t>
      </w:r>
      <w:r w:rsidRPr="00B07D79">
        <w:rPr>
          <w:rFonts w:asciiTheme="minorHAnsi" w:eastAsia="Arial" w:hAnsiTheme="minorHAnsi" w:cs="Arial"/>
          <w:szCs w:val="22"/>
        </w:rPr>
        <w:t>místo</w:t>
      </w:r>
      <w:r w:rsidR="00C17974" w:rsidRPr="00B07D79">
        <w:rPr>
          <w:rFonts w:asciiTheme="minorHAnsi" w:eastAsia="Arial" w:hAnsiTheme="minorHAnsi" w:cs="Arial"/>
          <w:szCs w:val="22"/>
        </w:rPr>
        <w:t xml:space="preserve"> od konce</w:t>
      </w:r>
      <w:r w:rsidRPr="00B07D79">
        <w:rPr>
          <w:rFonts w:asciiTheme="minorHAnsi" w:eastAsia="Arial" w:hAnsiTheme="minorHAnsi" w:cs="Arial"/>
          <w:szCs w:val="22"/>
        </w:rPr>
        <w:t>, když</w:t>
      </w:r>
      <w:r w:rsidR="008126E4" w:rsidRPr="00B07D79">
        <w:rPr>
          <w:rFonts w:asciiTheme="minorHAnsi" w:eastAsia="Arial" w:hAnsiTheme="minorHAnsi" w:cs="Arial"/>
          <w:szCs w:val="22"/>
        </w:rPr>
        <w:t> </w:t>
      </w:r>
      <w:r w:rsidRPr="00B07D79">
        <w:rPr>
          <w:rFonts w:asciiTheme="minorHAnsi" w:eastAsia="Arial" w:hAnsiTheme="minorHAnsi" w:cs="Arial"/>
          <w:szCs w:val="22"/>
        </w:rPr>
        <w:t>za</w:t>
      </w:r>
      <w:r w:rsidR="008126E4" w:rsidRPr="00B07D79">
        <w:rPr>
          <w:rFonts w:asciiTheme="minorHAnsi" w:eastAsia="Arial" w:hAnsiTheme="minorHAnsi" w:cs="Arial"/>
          <w:szCs w:val="22"/>
        </w:rPr>
        <w:t> </w:t>
      </w:r>
      <w:r w:rsidRPr="00B07D79">
        <w:rPr>
          <w:rFonts w:asciiTheme="minorHAnsi" w:eastAsia="Arial" w:hAnsiTheme="minorHAnsi" w:cs="Arial"/>
          <w:szCs w:val="22"/>
        </w:rPr>
        <w:t>námi skončilo pouze Slovensko (1,8 % BEV a</w:t>
      </w:r>
      <w:r w:rsidR="00CF2351" w:rsidRPr="00B07D79">
        <w:rPr>
          <w:rFonts w:asciiTheme="minorHAnsi" w:eastAsia="Arial" w:hAnsiTheme="minorHAnsi" w:cs="Arial"/>
          <w:szCs w:val="22"/>
        </w:rPr>
        <w:t> </w:t>
      </w:r>
      <w:r w:rsidRPr="00B07D79">
        <w:rPr>
          <w:rFonts w:asciiTheme="minorHAnsi" w:eastAsia="Arial" w:hAnsiTheme="minorHAnsi" w:cs="Arial"/>
          <w:szCs w:val="22"/>
        </w:rPr>
        <w:t>2,0 % PHEV) a</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Chorvatsko (2,88 </w:t>
      </w:r>
      <w:r w:rsidR="002041A7" w:rsidRPr="00B07D79">
        <w:rPr>
          <w:rFonts w:asciiTheme="minorHAnsi" w:eastAsia="Arial" w:hAnsiTheme="minorHAnsi" w:cs="Arial"/>
          <w:szCs w:val="22"/>
        </w:rPr>
        <w:t xml:space="preserve">% </w:t>
      </w:r>
      <w:r w:rsidRPr="00B07D79">
        <w:rPr>
          <w:rFonts w:asciiTheme="minorHAnsi" w:eastAsia="Arial" w:hAnsiTheme="minorHAnsi" w:cs="Arial"/>
          <w:szCs w:val="22"/>
        </w:rPr>
        <w:t>BEV) a</w:t>
      </w:r>
      <w:r w:rsidR="00CF2351" w:rsidRPr="00B07D79">
        <w:rPr>
          <w:rFonts w:asciiTheme="minorHAnsi" w:eastAsia="Arial" w:hAnsiTheme="minorHAnsi" w:cs="Arial"/>
          <w:szCs w:val="22"/>
        </w:rPr>
        <w:t> </w:t>
      </w:r>
      <w:r w:rsidRPr="00B07D79">
        <w:rPr>
          <w:rFonts w:asciiTheme="minorHAnsi" w:eastAsia="Arial" w:hAnsiTheme="minorHAnsi" w:cs="Arial"/>
          <w:szCs w:val="22"/>
        </w:rPr>
        <w:t>v ostatních zemích V4 bylo v</w:t>
      </w:r>
      <w:r w:rsidR="00CF2351" w:rsidRPr="00B07D79">
        <w:rPr>
          <w:rFonts w:asciiTheme="minorHAnsi" w:eastAsia="Arial" w:hAnsiTheme="minorHAnsi" w:cs="Arial"/>
          <w:szCs w:val="22"/>
        </w:rPr>
        <w:t> </w:t>
      </w:r>
      <w:r w:rsidRPr="00B07D79">
        <w:rPr>
          <w:rFonts w:asciiTheme="minorHAnsi" w:eastAsia="Arial" w:hAnsiTheme="minorHAnsi" w:cs="Arial"/>
          <w:szCs w:val="22"/>
        </w:rPr>
        <w:t>Polsku registrováno 3,6 % BEV a</w:t>
      </w:r>
      <w:r w:rsidR="00CF2351" w:rsidRPr="00B07D79">
        <w:rPr>
          <w:rFonts w:asciiTheme="minorHAnsi" w:eastAsia="Arial" w:hAnsiTheme="minorHAnsi" w:cs="Arial"/>
          <w:szCs w:val="22"/>
        </w:rPr>
        <w:t> </w:t>
      </w:r>
      <w:r w:rsidRPr="00B07D79">
        <w:rPr>
          <w:rFonts w:asciiTheme="minorHAnsi" w:eastAsia="Arial" w:hAnsiTheme="minorHAnsi" w:cs="Arial"/>
          <w:szCs w:val="22"/>
        </w:rPr>
        <w:t>2,3 % PHEV, v</w:t>
      </w:r>
      <w:r w:rsidR="00CF2351" w:rsidRPr="00B07D79">
        <w:rPr>
          <w:rFonts w:asciiTheme="minorHAnsi" w:eastAsia="Arial" w:hAnsiTheme="minorHAnsi" w:cs="Arial"/>
          <w:szCs w:val="22"/>
        </w:rPr>
        <w:t> </w:t>
      </w:r>
      <w:r w:rsidRPr="00B07D79">
        <w:rPr>
          <w:rFonts w:asciiTheme="minorHAnsi" w:eastAsia="Arial" w:hAnsiTheme="minorHAnsi" w:cs="Arial"/>
          <w:szCs w:val="22"/>
        </w:rPr>
        <w:t>Maďarsku pak 5,34 % BEV a</w:t>
      </w:r>
      <w:r w:rsidR="00CF2351" w:rsidRPr="00B07D79">
        <w:rPr>
          <w:rFonts w:asciiTheme="minorHAnsi" w:eastAsia="Arial" w:hAnsiTheme="minorHAnsi" w:cs="Arial"/>
          <w:szCs w:val="22"/>
        </w:rPr>
        <w:t> </w:t>
      </w:r>
      <w:r w:rsidRPr="00B07D79">
        <w:rPr>
          <w:rFonts w:asciiTheme="minorHAnsi" w:eastAsia="Arial" w:hAnsiTheme="minorHAnsi" w:cs="Arial"/>
          <w:szCs w:val="22"/>
        </w:rPr>
        <w:t>4,4 % PHEV.</w:t>
      </w:r>
    </w:p>
    <w:p w14:paraId="6B051476" w14:textId="2E7F5F0E" w:rsidR="002E6D07" w:rsidRPr="00B07D79" w:rsidRDefault="002E6D07" w:rsidP="00B07D79">
      <w:pPr>
        <w:spacing w:line="276" w:lineRule="auto"/>
        <w:jc w:val="both"/>
        <w:rPr>
          <w:rFonts w:asciiTheme="minorHAnsi" w:eastAsia="Arial" w:hAnsiTheme="minorHAnsi"/>
        </w:rPr>
      </w:pPr>
      <w:r w:rsidRPr="00B07D79">
        <w:rPr>
          <w:rFonts w:asciiTheme="minorHAnsi" w:eastAsia="Arial" w:hAnsiTheme="minorHAnsi"/>
        </w:rPr>
        <w:t>Největší podíl BEV na celkových registracích OA vykázalo Švédsko skoro 39 %, následováno Dánskem a</w:t>
      </w:r>
      <w:r w:rsidR="00CF2351" w:rsidRPr="00B07D79">
        <w:rPr>
          <w:rFonts w:asciiTheme="minorHAnsi" w:eastAsia="Arial" w:hAnsiTheme="minorHAnsi"/>
        </w:rPr>
        <w:t> </w:t>
      </w:r>
      <w:r w:rsidRPr="00B07D79">
        <w:rPr>
          <w:rFonts w:asciiTheme="minorHAnsi" w:eastAsia="Arial" w:hAnsiTheme="minorHAnsi"/>
        </w:rPr>
        <w:t xml:space="preserve">Finskem, kde podíl BEV přesáhl třetinu všech registrací. </w:t>
      </w:r>
      <w:r w:rsidR="00021371" w:rsidRPr="00B07D79">
        <w:rPr>
          <w:rFonts w:asciiTheme="minorHAnsi" w:eastAsia="Arial" w:hAnsiTheme="minorHAnsi"/>
        </w:rPr>
        <w:t>Na opačném konci nejnižší podíl mělo Slovensko a</w:t>
      </w:r>
      <w:r w:rsidR="00CF2351" w:rsidRPr="00B07D79">
        <w:rPr>
          <w:rFonts w:asciiTheme="minorHAnsi" w:eastAsia="Arial" w:hAnsiTheme="minorHAnsi"/>
        </w:rPr>
        <w:t> </w:t>
      </w:r>
      <w:r w:rsidR="00021371" w:rsidRPr="00B07D79">
        <w:rPr>
          <w:rFonts w:asciiTheme="minorHAnsi" w:eastAsia="Arial" w:hAnsiTheme="minorHAnsi"/>
        </w:rPr>
        <w:t>Chorvatsko do 3</w:t>
      </w:r>
      <w:r w:rsidR="00543428" w:rsidRPr="00B07D79">
        <w:rPr>
          <w:rFonts w:asciiTheme="minorHAnsi" w:eastAsia="Arial" w:hAnsiTheme="minorHAnsi"/>
        </w:rPr>
        <w:t xml:space="preserve"> </w:t>
      </w:r>
      <w:r w:rsidR="00021371" w:rsidRPr="00B07D79">
        <w:rPr>
          <w:rFonts w:asciiTheme="minorHAnsi" w:eastAsia="Arial" w:hAnsiTheme="minorHAnsi"/>
        </w:rPr>
        <w:t>% a</w:t>
      </w:r>
      <w:r w:rsidR="00CF2351" w:rsidRPr="00B07D79">
        <w:rPr>
          <w:rFonts w:asciiTheme="minorHAnsi" w:eastAsia="Arial" w:hAnsiTheme="minorHAnsi"/>
        </w:rPr>
        <w:t> </w:t>
      </w:r>
      <w:r w:rsidR="00021371" w:rsidRPr="00B07D79">
        <w:rPr>
          <w:rFonts w:asciiTheme="minorHAnsi" w:eastAsia="Arial" w:hAnsiTheme="minorHAnsi"/>
        </w:rPr>
        <w:t xml:space="preserve">ČR, kde podíl BEV byl těsně nad hranicí 3,0 %. </w:t>
      </w:r>
    </w:p>
    <w:p w14:paraId="1D6BEB6B" w14:textId="4737BE40" w:rsidR="00E26E3A" w:rsidRPr="000E5B59" w:rsidRDefault="000E5B59" w:rsidP="000E5B59">
      <w:pPr>
        <w:pStyle w:val="Titulek"/>
        <w:keepNext/>
        <w:spacing w:line="276" w:lineRule="auto"/>
        <w:jc w:val="both"/>
        <w:rPr>
          <w:rFonts w:asciiTheme="minorHAnsi" w:hAnsiTheme="minorHAnsi"/>
          <w:b w:val="0"/>
          <w:bCs w:val="0"/>
          <w:color w:val="385623" w:themeColor="accent6" w:themeShade="80"/>
        </w:rPr>
      </w:pPr>
      <w:r w:rsidRPr="00B07D79">
        <w:rPr>
          <w:rFonts w:asciiTheme="minorHAnsi" w:hAnsiTheme="minorHAnsi"/>
          <w:b w:val="0"/>
          <w:bCs w:val="0"/>
          <w:noProof/>
        </w:rPr>
        <w:lastRenderedPageBreak/>
        <w:drawing>
          <wp:anchor distT="0" distB="0" distL="114300" distR="114300" simplePos="0" relativeHeight="251679744" behindDoc="0" locked="0" layoutInCell="1" allowOverlap="1" wp14:anchorId="6CC1DEA0" wp14:editId="6E000211">
            <wp:simplePos x="0" y="0"/>
            <wp:positionH relativeFrom="margin">
              <wp:posOffset>91440</wp:posOffset>
            </wp:positionH>
            <wp:positionV relativeFrom="paragraph">
              <wp:posOffset>468630</wp:posOffset>
            </wp:positionV>
            <wp:extent cx="5473700" cy="3072130"/>
            <wp:effectExtent l="0" t="0" r="0" b="0"/>
            <wp:wrapSquare wrapText="bothSides"/>
            <wp:docPr id="1538154194" name="Obrázek 153815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8448"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3700" cy="3072130"/>
                    </a:xfrm>
                    <a:prstGeom prst="rect">
                      <a:avLst/>
                    </a:prstGeom>
                  </pic:spPr>
                </pic:pic>
              </a:graphicData>
            </a:graphic>
            <wp14:sizeRelH relativeFrom="page">
              <wp14:pctWidth>0</wp14:pctWidth>
            </wp14:sizeRelH>
            <wp14:sizeRelV relativeFrom="page">
              <wp14:pctHeight>0</wp14:pctHeight>
            </wp14:sizeRelV>
          </wp:anchor>
        </w:drawing>
      </w:r>
      <w:r w:rsidR="00E26E3A" w:rsidRPr="000E5B59">
        <w:rPr>
          <w:rFonts w:asciiTheme="minorHAnsi" w:hAnsiTheme="minorHAnsi"/>
          <w:b w:val="0"/>
          <w:bCs w:val="0"/>
          <w:color w:val="385623" w:themeColor="accent6" w:themeShade="80"/>
        </w:rPr>
        <w:t xml:space="preserve">Obrázek </w:t>
      </w:r>
      <w:r w:rsidR="003A7DBF" w:rsidRPr="000E5B59">
        <w:rPr>
          <w:rFonts w:asciiTheme="minorHAnsi" w:hAnsiTheme="minorHAnsi"/>
          <w:b w:val="0"/>
          <w:bCs w:val="0"/>
          <w:color w:val="385623" w:themeColor="accent6" w:themeShade="80"/>
        </w:rPr>
        <w:t xml:space="preserve">11 </w:t>
      </w:r>
      <w:r w:rsidR="002041A7" w:rsidRPr="000E5B59">
        <w:rPr>
          <w:rFonts w:asciiTheme="minorHAnsi" w:hAnsiTheme="minorHAnsi"/>
          <w:b w:val="0"/>
          <w:bCs w:val="0"/>
          <w:color w:val="385623" w:themeColor="accent6" w:themeShade="80"/>
        </w:rPr>
        <w:t>Podíl r</w:t>
      </w:r>
      <w:r w:rsidR="00E26E3A" w:rsidRPr="000E5B59">
        <w:rPr>
          <w:rFonts w:asciiTheme="minorHAnsi" w:hAnsiTheme="minorHAnsi"/>
          <w:b w:val="0"/>
          <w:bCs w:val="0"/>
          <w:color w:val="385623" w:themeColor="accent6" w:themeShade="80"/>
        </w:rPr>
        <w:t>egistrac</w:t>
      </w:r>
      <w:r w:rsidR="002041A7" w:rsidRPr="000E5B59">
        <w:rPr>
          <w:rFonts w:asciiTheme="minorHAnsi" w:hAnsiTheme="minorHAnsi"/>
          <w:b w:val="0"/>
          <w:bCs w:val="0"/>
          <w:color w:val="385623" w:themeColor="accent6" w:themeShade="80"/>
        </w:rPr>
        <w:t>í</w:t>
      </w:r>
      <w:r w:rsidR="00E26E3A" w:rsidRPr="000E5B59">
        <w:rPr>
          <w:rFonts w:asciiTheme="minorHAnsi" w:hAnsiTheme="minorHAnsi"/>
          <w:b w:val="0"/>
          <w:bCs w:val="0"/>
          <w:color w:val="385623" w:themeColor="accent6" w:themeShade="80"/>
        </w:rPr>
        <w:t xml:space="preserve"> nových osobních bateriových elektromobilů v</w:t>
      </w:r>
      <w:r w:rsidR="00CF2351" w:rsidRPr="000E5B59">
        <w:rPr>
          <w:rFonts w:asciiTheme="minorHAnsi" w:hAnsiTheme="minorHAnsi"/>
          <w:b w:val="0"/>
          <w:bCs w:val="0"/>
          <w:color w:val="385623" w:themeColor="accent6" w:themeShade="80"/>
        </w:rPr>
        <w:t> </w:t>
      </w:r>
      <w:r w:rsidR="00E26E3A" w:rsidRPr="000E5B59">
        <w:rPr>
          <w:rFonts w:asciiTheme="minorHAnsi" w:hAnsiTheme="minorHAnsi"/>
          <w:b w:val="0"/>
          <w:bCs w:val="0"/>
          <w:color w:val="385623" w:themeColor="accent6" w:themeShade="80"/>
        </w:rPr>
        <w:t>roce 2023</w:t>
      </w:r>
    </w:p>
    <w:p w14:paraId="50332ED4" w14:textId="12B23923" w:rsidR="00E26E3A" w:rsidRPr="000E5B59" w:rsidRDefault="00E26E3A" w:rsidP="000E5B59">
      <w:pPr>
        <w:spacing w:line="276" w:lineRule="auto"/>
        <w:jc w:val="right"/>
        <w:rPr>
          <w:rFonts w:asciiTheme="minorHAnsi" w:hAnsiTheme="minorHAnsi"/>
          <w:color w:val="385623" w:themeColor="accent6" w:themeShade="80"/>
          <w:sz w:val="20"/>
        </w:rPr>
      </w:pPr>
      <w:r w:rsidRPr="000E5B59">
        <w:rPr>
          <w:rFonts w:asciiTheme="minorHAnsi" w:eastAsia="Arial" w:hAnsiTheme="minorHAnsi" w:cs="Arial"/>
          <w:i/>
          <w:iCs/>
          <w:color w:val="385623" w:themeColor="accent6" w:themeShade="80"/>
          <w:sz w:val="20"/>
          <w:szCs w:val="20"/>
        </w:rPr>
        <w:t xml:space="preserve">Zdroj: </w:t>
      </w:r>
      <w:hyperlink r:id="rId37" w:history="1">
        <w:r w:rsidR="002041A7" w:rsidRPr="000E5B59">
          <w:rPr>
            <w:rStyle w:val="Hypertextovodkaz"/>
            <w:rFonts w:asciiTheme="minorHAnsi" w:eastAsia="Arial" w:hAnsiTheme="minorHAnsi" w:cs="Arial"/>
            <w:i/>
            <w:iCs/>
            <w:color w:val="385623" w:themeColor="accent6" w:themeShade="80"/>
            <w:sz w:val="20"/>
            <w:szCs w:val="20"/>
            <w:u w:val="none"/>
          </w:rPr>
          <w:t>www.cistadoprava.cz</w:t>
        </w:r>
      </w:hyperlink>
      <w:r w:rsidR="002041A7" w:rsidRPr="000E5B59">
        <w:rPr>
          <w:rFonts w:asciiTheme="minorHAnsi" w:eastAsia="Arial" w:hAnsiTheme="minorHAnsi" w:cs="Arial"/>
          <w:i/>
          <w:iCs/>
          <w:color w:val="385623" w:themeColor="accent6" w:themeShade="80"/>
          <w:sz w:val="20"/>
          <w:szCs w:val="20"/>
        </w:rPr>
        <w:t xml:space="preserve"> (CDV, </w:t>
      </w:r>
      <w:r w:rsidRPr="000E5B59">
        <w:rPr>
          <w:rFonts w:asciiTheme="minorHAnsi" w:eastAsia="Arial" w:hAnsiTheme="minorHAnsi" w:cs="Arial"/>
          <w:i/>
          <w:iCs/>
          <w:color w:val="385623" w:themeColor="accent6" w:themeShade="80"/>
          <w:sz w:val="20"/>
          <w:szCs w:val="20"/>
        </w:rPr>
        <w:t>ACEA</w:t>
      </w:r>
      <w:r w:rsidR="002041A7" w:rsidRPr="000E5B59">
        <w:rPr>
          <w:rFonts w:asciiTheme="minorHAnsi" w:eastAsia="Arial" w:hAnsiTheme="minorHAnsi" w:cs="Arial"/>
          <w:i/>
          <w:iCs/>
          <w:color w:val="385623" w:themeColor="accent6" w:themeShade="80"/>
          <w:sz w:val="20"/>
          <w:szCs w:val="20"/>
        </w:rPr>
        <w:t>)</w:t>
      </w:r>
    </w:p>
    <w:p w14:paraId="3A533BA8" w14:textId="66A54B65" w:rsidR="00DD42B0" w:rsidRPr="005E2F84" w:rsidRDefault="00DD42B0" w:rsidP="005E2F84">
      <w:pPr>
        <w:spacing w:line="276" w:lineRule="auto"/>
        <w:jc w:val="both"/>
        <w:rPr>
          <w:rFonts w:asciiTheme="minorHAnsi" w:hAnsiTheme="minorHAnsi"/>
          <w:szCs w:val="22"/>
        </w:rPr>
      </w:pPr>
      <w:r w:rsidRPr="00B07D79">
        <w:rPr>
          <w:rFonts w:asciiTheme="minorHAnsi" w:eastAsia="Arial" w:hAnsiTheme="minorHAnsi"/>
        </w:rPr>
        <w:t xml:space="preserve">Z hlediska počtu </w:t>
      </w:r>
      <w:r w:rsidR="00A2431F" w:rsidRPr="00B07D79">
        <w:rPr>
          <w:rFonts w:asciiTheme="minorHAnsi" w:eastAsia="Arial" w:hAnsiTheme="minorHAnsi"/>
        </w:rPr>
        <w:t>elektromobilů</w:t>
      </w:r>
      <w:r w:rsidRPr="00B07D79">
        <w:rPr>
          <w:rFonts w:asciiTheme="minorHAnsi" w:eastAsia="Arial" w:hAnsiTheme="minorHAnsi"/>
        </w:rPr>
        <w:t xml:space="preserve"> na 1</w:t>
      </w:r>
      <w:r w:rsidR="00543428" w:rsidRPr="00B07D79">
        <w:rPr>
          <w:rFonts w:asciiTheme="minorHAnsi" w:eastAsia="Arial" w:hAnsiTheme="minorHAnsi"/>
        </w:rPr>
        <w:t xml:space="preserve"> </w:t>
      </w:r>
      <w:r w:rsidRPr="00B07D79">
        <w:rPr>
          <w:rFonts w:asciiTheme="minorHAnsi" w:eastAsia="Arial" w:hAnsiTheme="minorHAnsi"/>
        </w:rPr>
        <w:t>000 obyvatel v</w:t>
      </w:r>
      <w:r w:rsidR="00CF2351" w:rsidRPr="00B07D79">
        <w:rPr>
          <w:rFonts w:asciiTheme="minorHAnsi" w:eastAsia="Arial" w:hAnsiTheme="minorHAnsi"/>
        </w:rPr>
        <w:t> </w:t>
      </w:r>
      <w:r w:rsidRPr="00B07D79">
        <w:rPr>
          <w:rFonts w:asciiTheme="minorHAnsi" w:eastAsia="Arial" w:hAnsiTheme="minorHAnsi"/>
        </w:rPr>
        <w:t>roce 2023</w:t>
      </w:r>
      <w:r w:rsidR="00A2431F" w:rsidRPr="00B07D79">
        <w:rPr>
          <w:rFonts w:asciiTheme="minorHAnsi" w:eastAsia="Arial" w:hAnsiTheme="minorHAnsi"/>
        </w:rPr>
        <w:t xml:space="preserve"> došlo k</w:t>
      </w:r>
      <w:r w:rsidR="00CF2351" w:rsidRPr="00B07D79">
        <w:rPr>
          <w:rFonts w:asciiTheme="minorHAnsi" w:eastAsia="Arial" w:hAnsiTheme="minorHAnsi"/>
        </w:rPr>
        <w:t> </w:t>
      </w:r>
      <w:r w:rsidR="00A2431F" w:rsidRPr="00B07D79">
        <w:rPr>
          <w:rFonts w:asciiTheme="minorHAnsi" w:eastAsia="Arial" w:hAnsiTheme="minorHAnsi"/>
        </w:rPr>
        <w:t xml:space="preserve">největšímu navýšení na prvních </w:t>
      </w:r>
      <w:r w:rsidR="00E82E10" w:rsidRPr="00B07D79">
        <w:rPr>
          <w:rFonts w:asciiTheme="minorHAnsi" w:eastAsia="Arial" w:hAnsiTheme="minorHAnsi"/>
        </w:rPr>
        <w:t xml:space="preserve">dvou </w:t>
      </w:r>
      <w:r w:rsidR="00A2431F" w:rsidRPr="00B07D79">
        <w:rPr>
          <w:rFonts w:asciiTheme="minorHAnsi" w:eastAsia="Arial" w:hAnsiTheme="minorHAnsi"/>
        </w:rPr>
        <w:t>místech</w:t>
      </w:r>
      <w:r w:rsidR="00E82E10" w:rsidRPr="00B07D79">
        <w:rPr>
          <w:rFonts w:asciiTheme="minorHAnsi" w:eastAsia="Arial" w:hAnsiTheme="minorHAnsi"/>
        </w:rPr>
        <w:t xml:space="preserve"> o</w:t>
      </w:r>
      <w:r w:rsidR="00CF2351" w:rsidRPr="00B07D79">
        <w:rPr>
          <w:rFonts w:asciiTheme="minorHAnsi" w:eastAsia="Arial" w:hAnsiTheme="minorHAnsi"/>
        </w:rPr>
        <w:t> </w:t>
      </w:r>
      <w:r w:rsidR="00E82E10" w:rsidRPr="00B07D79">
        <w:rPr>
          <w:rFonts w:asciiTheme="minorHAnsi" w:eastAsia="Arial" w:hAnsiTheme="minorHAnsi"/>
        </w:rPr>
        <w:t>cca 1 500 a</w:t>
      </w:r>
      <w:r w:rsidR="00CF2351" w:rsidRPr="00B07D79">
        <w:rPr>
          <w:rFonts w:asciiTheme="minorHAnsi" w:eastAsia="Arial" w:hAnsiTheme="minorHAnsi"/>
        </w:rPr>
        <w:t> </w:t>
      </w:r>
      <w:r w:rsidR="00E82E10" w:rsidRPr="00B07D79">
        <w:rPr>
          <w:rFonts w:asciiTheme="minorHAnsi" w:eastAsia="Arial" w:hAnsiTheme="minorHAnsi"/>
        </w:rPr>
        <w:t>1</w:t>
      </w:r>
      <w:r w:rsidR="00543428" w:rsidRPr="00B07D79">
        <w:rPr>
          <w:rFonts w:asciiTheme="minorHAnsi" w:eastAsia="Arial" w:hAnsiTheme="minorHAnsi"/>
        </w:rPr>
        <w:t xml:space="preserve"> </w:t>
      </w:r>
      <w:r w:rsidR="00E82E10" w:rsidRPr="00B07D79">
        <w:rPr>
          <w:rFonts w:asciiTheme="minorHAnsi" w:eastAsia="Arial" w:hAnsiTheme="minorHAnsi"/>
        </w:rPr>
        <w:t>000 EV na 1 000 obyvatel. Na třetí místo se posunulo Dánsko, které o</w:t>
      </w:r>
      <w:r w:rsidR="00CF2351" w:rsidRPr="00B07D79">
        <w:rPr>
          <w:rFonts w:asciiTheme="minorHAnsi" w:eastAsia="Arial" w:hAnsiTheme="minorHAnsi"/>
        </w:rPr>
        <w:t> </w:t>
      </w:r>
      <w:r w:rsidR="002A1A04" w:rsidRPr="00B07D79">
        <w:rPr>
          <w:rFonts w:asciiTheme="minorHAnsi" w:eastAsia="Arial" w:hAnsiTheme="minorHAnsi"/>
        </w:rPr>
        <w:t xml:space="preserve">několik EV </w:t>
      </w:r>
      <w:r w:rsidR="00E82E10" w:rsidRPr="00B07D79">
        <w:rPr>
          <w:rFonts w:asciiTheme="minorHAnsi" w:eastAsia="Arial" w:hAnsiTheme="minorHAnsi"/>
        </w:rPr>
        <w:t xml:space="preserve">překonalo Nizozemí. Všechny státy na posledních deseti místech měly skoro jak zdvojnásobení tohoto ukazatele. </w:t>
      </w:r>
      <w:r w:rsidR="0034392A" w:rsidRPr="00B07D79">
        <w:rPr>
          <w:rFonts w:asciiTheme="minorHAnsi" w:eastAsia="Arial" w:hAnsiTheme="minorHAnsi"/>
        </w:rPr>
        <w:t>Pro srovnání v</w:t>
      </w:r>
      <w:r w:rsidR="00CF2351" w:rsidRPr="00B07D79">
        <w:rPr>
          <w:rFonts w:asciiTheme="minorHAnsi" w:eastAsia="Arial" w:hAnsiTheme="minorHAnsi"/>
        </w:rPr>
        <w:t> </w:t>
      </w:r>
      <w:r w:rsidR="0034392A" w:rsidRPr="00B07D79">
        <w:rPr>
          <w:rFonts w:asciiTheme="minorHAnsi" w:eastAsia="Arial" w:hAnsiTheme="minorHAnsi"/>
        </w:rPr>
        <w:t>Norsku bylo</w:t>
      </w:r>
      <w:r w:rsidR="00D92D08" w:rsidRPr="00B07D79">
        <w:rPr>
          <w:rFonts w:asciiTheme="minorHAnsi" w:eastAsia="Arial" w:hAnsiTheme="minorHAnsi"/>
        </w:rPr>
        <w:t xml:space="preserve"> </w:t>
      </w:r>
      <w:r w:rsidR="0034392A" w:rsidRPr="00B07D79">
        <w:rPr>
          <w:rFonts w:asciiTheme="minorHAnsi" w:eastAsia="Arial" w:hAnsiTheme="minorHAnsi"/>
        </w:rPr>
        <w:t>150 elektromobily na 1 000 obyvatel a</w:t>
      </w:r>
      <w:r w:rsidR="00CF2351" w:rsidRPr="00B07D79">
        <w:rPr>
          <w:rFonts w:asciiTheme="minorHAnsi" w:eastAsia="Arial" w:hAnsiTheme="minorHAnsi"/>
        </w:rPr>
        <w:t> </w:t>
      </w:r>
      <w:r w:rsidR="0034392A" w:rsidRPr="00B07D79">
        <w:rPr>
          <w:rFonts w:asciiTheme="minorHAnsi" w:eastAsia="Arial" w:hAnsiTheme="minorHAnsi"/>
        </w:rPr>
        <w:t>v USA 8,7</w:t>
      </w:r>
      <w:r w:rsidR="00D92D08" w:rsidRPr="00B07D79">
        <w:rPr>
          <w:rFonts w:asciiTheme="minorHAnsi" w:eastAsia="Arial" w:hAnsiTheme="minorHAnsi"/>
        </w:rPr>
        <w:t> </w:t>
      </w:r>
      <w:r w:rsidR="0034392A" w:rsidRPr="00B07D79">
        <w:rPr>
          <w:rFonts w:asciiTheme="minorHAnsi" w:eastAsia="Arial" w:hAnsiTheme="minorHAnsi"/>
        </w:rPr>
        <w:t>elektromobilů na 1 000 obyvatel.</w:t>
      </w:r>
    </w:p>
    <w:p w14:paraId="2D104654" w14:textId="2CD1FF1F" w:rsidR="00E26E3A" w:rsidRPr="000E5B59" w:rsidRDefault="00E26E3A"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color w:val="385623" w:themeColor="accent6" w:themeShade="80"/>
        </w:rPr>
        <w:lastRenderedPageBreak/>
        <w:t xml:space="preserve">Obrázek </w:t>
      </w:r>
      <w:r w:rsidR="003A7DBF" w:rsidRPr="000E5B59">
        <w:rPr>
          <w:rFonts w:asciiTheme="minorHAnsi" w:hAnsiTheme="minorHAnsi"/>
          <w:b w:val="0"/>
          <w:bCs w:val="0"/>
          <w:color w:val="385623" w:themeColor="accent6" w:themeShade="80"/>
        </w:rPr>
        <w:t>12</w:t>
      </w:r>
      <w:r w:rsidRPr="000E5B59">
        <w:rPr>
          <w:rFonts w:asciiTheme="minorHAnsi" w:hAnsiTheme="minorHAnsi"/>
          <w:b w:val="0"/>
          <w:bCs w:val="0"/>
          <w:color w:val="385623" w:themeColor="accent6" w:themeShade="80"/>
        </w:rPr>
        <w:t xml:space="preserve"> Nová osobní </w:t>
      </w:r>
      <w:proofErr w:type="spellStart"/>
      <w:r w:rsidRPr="000E5B59">
        <w:rPr>
          <w:rFonts w:asciiTheme="minorHAnsi" w:hAnsiTheme="minorHAnsi"/>
          <w:b w:val="0"/>
          <w:bCs w:val="0"/>
          <w:color w:val="385623" w:themeColor="accent6" w:themeShade="80"/>
        </w:rPr>
        <w:t>BEV</w:t>
      </w:r>
      <w:r w:rsidR="00390D18" w:rsidRPr="000E5B59">
        <w:rPr>
          <w:rFonts w:asciiTheme="minorHAnsi" w:hAnsiTheme="minorHAnsi"/>
          <w:b w:val="0"/>
          <w:bCs w:val="0"/>
          <w:color w:val="385623" w:themeColor="accent6" w:themeShade="80"/>
        </w:rPr>
        <w:t>s</w:t>
      </w:r>
      <w:proofErr w:type="spellEnd"/>
      <w:r w:rsidRPr="000E5B59">
        <w:rPr>
          <w:rFonts w:asciiTheme="minorHAnsi" w:hAnsiTheme="minorHAnsi"/>
          <w:b w:val="0"/>
          <w:bCs w:val="0"/>
          <w:color w:val="385623" w:themeColor="accent6" w:themeShade="80"/>
        </w:rPr>
        <w:t xml:space="preserve"> na 100 tisíc obyvatel v</w:t>
      </w:r>
      <w:r w:rsidR="00CF2351" w:rsidRPr="000E5B59">
        <w:rPr>
          <w:rFonts w:asciiTheme="minorHAnsi" w:hAnsiTheme="minorHAnsi"/>
          <w:b w:val="0"/>
          <w:bCs w:val="0"/>
          <w:color w:val="385623" w:themeColor="accent6" w:themeShade="80"/>
        </w:rPr>
        <w:t> </w:t>
      </w:r>
      <w:r w:rsidRPr="000E5B59">
        <w:rPr>
          <w:rFonts w:asciiTheme="minorHAnsi" w:hAnsiTheme="minorHAnsi"/>
          <w:b w:val="0"/>
          <w:bCs w:val="0"/>
          <w:color w:val="385623" w:themeColor="accent6" w:themeShade="80"/>
        </w:rPr>
        <w:t>EU 2017-202</w:t>
      </w:r>
      <w:r w:rsidR="001273B5" w:rsidRPr="000E5B59">
        <w:rPr>
          <w:rFonts w:asciiTheme="minorHAnsi" w:hAnsiTheme="minorHAnsi"/>
          <w:b w:val="0"/>
          <w:bCs w:val="0"/>
          <w:color w:val="385623" w:themeColor="accent6" w:themeShade="80"/>
        </w:rPr>
        <w:t>3</w:t>
      </w:r>
    </w:p>
    <w:p w14:paraId="6466C10E" w14:textId="36FD65C8" w:rsidR="00E26E3A" w:rsidRPr="00B07D79" w:rsidRDefault="00390D18"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29593CDF" wp14:editId="5D78BDC0">
            <wp:extent cx="5775214" cy="3694176"/>
            <wp:effectExtent l="0" t="0" r="0" b="1905"/>
            <wp:docPr id="1338282996" name="Obrázek 1"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82996" name="Obrázek 1" descr="Obsah obrázku text, snímek obrazovky, diagram, řada/pruh&#10;&#10;Popis byl vytvořen automaticky"/>
                    <pic:cNvPicPr/>
                  </pic:nvPicPr>
                  <pic:blipFill>
                    <a:blip r:embed="rId38"/>
                    <a:stretch>
                      <a:fillRect/>
                    </a:stretch>
                  </pic:blipFill>
                  <pic:spPr>
                    <a:xfrm>
                      <a:off x="0" y="0"/>
                      <a:ext cx="5788971" cy="3702976"/>
                    </a:xfrm>
                    <a:prstGeom prst="rect">
                      <a:avLst/>
                    </a:prstGeom>
                  </pic:spPr>
                </pic:pic>
              </a:graphicData>
            </a:graphic>
          </wp:inline>
        </w:drawing>
      </w:r>
    </w:p>
    <w:p w14:paraId="67156AAA" w14:textId="2D3A98B6" w:rsidR="00BD57A8" w:rsidRPr="000E5B59" w:rsidRDefault="00E26E3A" w:rsidP="000E5B59">
      <w:pPr>
        <w:spacing w:line="276" w:lineRule="auto"/>
        <w:jc w:val="right"/>
        <w:rPr>
          <w:rFonts w:asciiTheme="minorHAnsi" w:eastAsia="Arial" w:hAnsiTheme="minorHAnsi"/>
          <w:color w:val="385623" w:themeColor="accent6" w:themeShade="80"/>
        </w:rPr>
      </w:pPr>
      <w:r w:rsidRPr="000E5B59">
        <w:rPr>
          <w:rFonts w:asciiTheme="minorHAnsi" w:eastAsia="Arial" w:hAnsiTheme="minorHAnsi" w:cs="Arial"/>
          <w:i/>
          <w:iCs/>
          <w:color w:val="385623" w:themeColor="accent6" w:themeShade="80"/>
          <w:sz w:val="20"/>
          <w:szCs w:val="20"/>
        </w:rPr>
        <w:t>Zdroj: Centrum dopravního výzkumu</w:t>
      </w:r>
      <w:r w:rsidR="002875BE" w:rsidRPr="000E5B59">
        <w:rPr>
          <w:rFonts w:asciiTheme="minorHAnsi" w:eastAsia="Arial" w:hAnsiTheme="minorHAnsi" w:cs="Arial"/>
          <w:i/>
          <w:iCs/>
          <w:color w:val="385623" w:themeColor="accent6" w:themeShade="80"/>
          <w:sz w:val="20"/>
          <w:szCs w:val="20"/>
        </w:rPr>
        <w:t xml:space="preserve"> </w:t>
      </w:r>
      <w:r w:rsidR="002875BE" w:rsidRPr="000E5B59">
        <w:rPr>
          <w:rFonts w:asciiTheme="minorHAnsi" w:eastAsia="Arial" w:hAnsiTheme="minorHAnsi"/>
          <w:i/>
          <w:color w:val="385623" w:themeColor="accent6" w:themeShade="80"/>
          <w:sz w:val="20"/>
        </w:rPr>
        <w:t>(</w:t>
      </w:r>
      <w:r w:rsidR="001273B5" w:rsidRPr="000E5B59">
        <w:rPr>
          <w:rFonts w:asciiTheme="minorHAnsi" w:eastAsia="Arial" w:hAnsiTheme="minorHAnsi" w:cs="Arial"/>
          <w:i/>
          <w:iCs/>
          <w:color w:val="385623" w:themeColor="accent6" w:themeShade="80"/>
          <w:sz w:val="20"/>
          <w:szCs w:val="20"/>
        </w:rPr>
        <w:t>ACEA, Eurostat</w:t>
      </w:r>
      <w:r w:rsidR="00BE7201" w:rsidRPr="000E5B59">
        <w:rPr>
          <w:rFonts w:asciiTheme="minorHAnsi" w:eastAsia="Arial" w:hAnsiTheme="minorHAnsi"/>
          <w:i/>
          <w:color w:val="385623" w:themeColor="accent6" w:themeShade="80"/>
          <w:sz w:val="20"/>
        </w:rPr>
        <w:t>)</w:t>
      </w:r>
    </w:p>
    <w:p w14:paraId="5C1B9613" w14:textId="44FADDA2"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Lehká užitková vozidla</w:t>
      </w:r>
    </w:p>
    <w:p w14:paraId="29592C19" w14:textId="7764D277"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V zemích EU bylo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registrováno přes téměř 1,4 mil nových lehkých užitkových vozidel. Podíl naftových motorizací činil 86 %, elektrických pak 7,4 %, když bylo registrováno bezmála 68 tis. LUV. Český trh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w:t>
      </w:r>
      <w:r w:rsidR="00CF2351" w:rsidRPr="00B07D79">
        <w:rPr>
          <w:rFonts w:asciiTheme="minorHAnsi" w:eastAsia="Arial" w:hAnsiTheme="minorHAnsi" w:cs="Arial"/>
          <w:szCs w:val="22"/>
        </w:rPr>
        <w:t> </w:t>
      </w:r>
      <w:r w:rsidRPr="00B07D79">
        <w:rPr>
          <w:rFonts w:asciiTheme="minorHAnsi" w:eastAsia="Arial" w:hAnsiTheme="minorHAnsi" w:cs="Arial"/>
          <w:szCs w:val="22"/>
        </w:rPr>
        <w:t>novými LUV byl 17. největší mezi zeměmi EU. Podíl 1,2 % EV nás řadil na poslední místo, v</w:t>
      </w:r>
      <w:r w:rsidR="00CF2351" w:rsidRPr="00B07D79">
        <w:rPr>
          <w:rFonts w:asciiTheme="minorHAnsi" w:eastAsia="Arial" w:hAnsiTheme="minorHAnsi" w:cs="Arial"/>
          <w:szCs w:val="22"/>
        </w:rPr>
        <w:t> </w:t>
      </w:r>
      <w:r w:rsidRPr="00B07D79">
        <w:rPr>
          <w:rFonts w:asciiTheme="minorHAnsi" w:eastAsia="Arial" w:hAnsiTheme="minorHAnsi" w:cs="Arial"/>
          <w:szCs w:val="22"/>
        </w:rPr>
        <w:t>ostatních zemích V4 bylo na Slovensku registrováno 1,5 % EV, v</w:t>
      </w:r>
      <w:r w:rsidR="00CF2351" w:rsidRPr="00B07D79">
        <w:rPr>
          <w:rFonts w:asciiTheme="minorHAnsi" w:eastAsia="Arial" w:hAnsiTheme="minorHAnsi" w:cs="Arial"/>
          <w:szCs w:val="22"/>
        </w:rPr>
        <w:t> </w:t>
      </w:r>
      <w:r w:rsidRPr="00B07D79">
        <w:rPr>
          <w:rFonts w:asciiTheme="minorHAnsi" w:eastAsia="Arial" w:hAnsiTheme="minorHAnsi" w:cs="Arial"/>
          <w:szCs w:val="22"/>
        </w:rPr>
        <w:t>Polsku 2,3 % a</w:t>
      </w:r>
      <w:r w:rsidR="00CF2351" w:rsidRPr="00B07D79">
        <w:rPr>
          <w:rFonts w:asciiTheme="minorHAnsi" w:eastAsia="Arial" w:hAnsiTheme="minorHAnsi" w:cs="Arial"/>
          <w:szCs w:val="22"/>
        </w:rPr>
        <w:t> </w:t>
      </w:r>
      <w:r w:rsidRPr="00B07D79">
        <w:rPr>
          <w:rFonts w:asciiTheme="minorHAnsi" w:eastAsia="Arial" w:hAnsiTheme="minorHAnsi" w:cs="Arial"/>
          <w:szCs w:val="22"/>
        </w:rPr>
        <w:t>v Maďarsku 3,2 % EV.</w:t>
      </w:r>
    </w:p>
    <w:p w14:paraId="5CFD82B6" w14:textId="77777777"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Nákladní vozidla</w:t>
      </w:r>
    </w:p>
    <w:p w14:paraId="3C11788A" w14:textId="7C1458C5" w:rsidR="005E2F84" w:rsidRPr="009D0E24"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V zemích EU bylo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registrováno téměř 347 tis. nových nákladních vozidel (NV). Podíl naftových motorizací činil téměř 96 %, elektrických pak 0,6 %, když bylo registrováno 5 631 NV. Český trh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w:t>
      </w:r>
      <w:r w:rsidR="00CF2351" w:rsidRPr="00B07D79">
        <w:rPr>
          <w:rFonts w:asciiTheme="minorHAnsi" w:eastAsia="Arial" w:hAnsiTheme="minorHAnsi" w:cs="Arial"/>
          <w:szCs w:val="22"/>
        </w:rPr>
        <w:t> </w:t>
      </w:r>
      <w:r w:rsidRPr="00B07D79">
        <w:rPr>
          <w:rFonts w:asciiTheme="minorHAnsi" w:eastAsia="Arial" w:hAnsiTheme="minorHAnsi" w:cs="Arial"/>
          <w:szCs w:val="22"/>
        </w:rPr>
        <w:t>novými NV byl 9. největší mezi zeměmi EU. Podíl 0,05 % EV nás řadil na 17. místo, ze zemí V4 byl nižší podíl evidován v</w:t>
      </w:r>
      <w:r w:rsidR="00CF2351" w:rsidRPr="00B07D79">
        <w:rPr>
          <w:rFonts w:asciiTheme="minorHAnsi" w:eastAsia="Arial" w:hAnsiTheme="minorHAnsi" w:cs="Arial"/>
          <w:szCs w:val="22"/>
        </w:rPr>
        <w:t> </w:t>
      </w:r>
      <w:r w:rsidRPr="00B07D79">
        <w:rPr>
          <w:rFonts w:asciiTheme="minorHAnsi" w:eastAsia="Arial" w:hAnsiTheme="minorHAnsi" w:cs="Arial"/>
          <w:szCs w:val="22"/>
        </w:rPr>
        <w:t>Polsku (0,02 %), vyšší pak na</w:t>
      </w:r>
      <w:r w:rsidR="008126E4" w:rsidRPr="00B07D79">
        <w:rPr>
          <w:rFonts w:asciiTheme="minorHAnsi" w:eastAsia="Arial" w:hAnsiTheme="minorHAnsi" w:cs="Arial"/>
          <w:szCs w:val="22"/>
        </w:rPr>
        <w:t> </w:t>
      </w:r>
      <w:r w:rsidRPr="00B07D79">
        <w:rPr>
          <w:rFonts w:asciiTheme="minorHAnsi" w:eastAsia="Arial" w:hAnsiTheme="minorHAnsi" w:cs="Arial"/>
          <w:szCs w:val="22"/>
        </w:rPr>
        <w:t>Slovensku (0,06 %) a</w:t>
      </w:r>
      <w:r w:rsidR="00CF2351" w:rsidRPr="00B07D79">
        <w:rPr>
          <w:rFonts w:asciiTheme="minorHAnsi" w:eastAsia="Arial" w:hAnsiTheme="minorHAnsi" w:cs="Arial"/>
          <w:szCs w:val="22"/>
        </w:rPr>
        <w:t> </w:t>
      </w:r>
      <w:r w:rsidRPr="00B07D79">
        <w:rPr>
          <w:rFonts w:asciiTheme="minorHAnsi" w:eastAsia="Arial" w:hAnsiTheme="minorHAnsi" w:cs="Arial"/>
          <w:szCs w:val="22"/>
        </w:rPr>
        <w:t>v Maďarsku (0,07 %).</w:t>
      </w:r>
    </w:p>
    <w:p w14:paraId="1B1E32BE" w14:textId="77777777"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Autobusy</w:t>
      </w:r>
    </w:p>
    <w:p w14:paraId="708D62EF" w14:textId="3B3A349E" w:rsidR="00E26E3A" w:rsidRPr="00B07D79"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V zemích EU bylo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registrováno více než 32,6 tis. nových autobusů. Vývoj jednotlivých druhů paliv je pak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grafu uvedeného níže. Každoročně dochází k</w:t>
      </w:r>
      <w:r w:rsidR="00CF2351" w:rsidRPr="00B07D79">
        <w:rPr>
          <w:rFonts w:asciiTheme="minorHAnsi" w:eastAsia="Arial" w:hAnsiTheme="minorHAnsi" w:cs="Arial"/>
          <w:szCs w:val="22"/>
        </w:rPr>
        <w:t> </w:t>
      </w:r>
      <w:r w:rsidRPr="00B07D79">
        <w:rPr>
          <w:rFonts w:asciiTheme="minorHAnsi" w:eastAsia="Arial" w:hAnsiTheme="minorHAnsi" w:cs="Arial"/>
          <w:szCs w:val="22"/>
        </w:rPr>
        <w:t>postupnému snižování podílů naftových autobusů na úkor elektrobusů.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se</w:t>
      </w:r>
      <w:r w:rsidR="008126E4" w:rsidRPr="00B07D79">
        <w:rPr>
          <w:rFonts w:asciiTheme="minorHAnsi" w:eastAsia="Arial" w:hAnsiTheme="minorHAnsi" w:cs="Arial"/>
          <w:szCs w:val="22"/>
        </w:rPr>
        <w:t> </w:t>
      </w:r>
      <w:r w:rsidRPr="00B07D79">
        <w:rPr>
          <w:rFonts w:asciiTheme="minorHAnsi" w:eastAsia="Arial" w:hAnsiTheme="minorHAnsi" w:cs="Arial"/>
          <w:szCs w:val="22"/>
        </w:rPr>
        <w:t>elektrobusy podílely 15,9 %.</w:t>
      </w:r>
    </w:p>
    <w:p w14:paraId="7B1968B3" w14:textId="0F3515BE" w:rsidR="00E26E3A" w:rsidRPr="000E5B59" w:rsidRDefault="00E26E3A"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color w:val="385623" w:themeColor="accent6" w:themeShade="80"/>
        </w:rPr>
        <w:lastRenderedPageBreak/>
        <w:t xml:space="preserve">Obrázek </w:t>
      </w:r>
      <w:r w:rsidR="003A7DBF" w:rsidRPr="000E5B59">
        <w:rPr>
          <w:rFonts w:asciiTheme="minorHAnsi" w:hAnsiTheme="minorHAnsi"/>
          <w:b w:val="0"/>
          <w:bCs w:val="0"/>
          <w:color w:val="385623" w:themeColor="accent6" w:themeShade="80"/>
        </w:rPr>
        <w:t>13</w:t>
      </w:r>
      <w:r w:rsidRPr="000E5B59">
        <w:rPr>
          <w:rFonts w:asciiTheme="minorHAnsi" w:hAnsiTheme="minorHAnsi"/>
          <w:b w:val="0"/>
          <w:bCs w:val="0"/>
          <w:color w:val="385623" w:themeColor="accent6" w:themeShade="80"/>
        </w:rPr>
        <w:t xml:space="preserve"> Vývoj podílů registrací nových autobusů dle typu paliva</w:t>
      </w:r>
    </w:p>
    <w:p w14:paraId="77DFD6A4" w14:textId="77777777" w:rsidR="00E26E3A"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15F5B0AE" wp14:editId="054A108A">
            <wp:extent cx="5753100" cy="2695575"/>
            <wp:effectExtent l="0" t="0" r="0" b="9525"/>
            <wp:docPr id="1658898771" name="Obrázek 165889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44203"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53100" cy="2695575"/>
                    </a:xfrm>
                    <a:prstGeom prst="rect">
                      <a:avLst/>
                    </a:prstGeom>
                    <a:noFill/>
                    <a:ln>
                      <a:noFill/>
                    </a:ln>
                  </pic:spPr>
                </pic:pic>
              </a:graphicData>
            </a:graphic>
          </wp:inline>
        </w:drawing>
      </w:r>
    </w:p>
    <w:p w14:paraId="454E1B3A" w14:textId="05693FC6" w:rsidR="003A7DBF" w:rsidRPr="005E2F84" w:rsidRDefault="00E26E3A" w:rsidP="005E2F84">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w:t>
      </w:r>
      <w:hyperlink r:id="rId40" w:history="1">
        <w:r w:rsidR="001273B5" w:rsidRPr="000E5B59">
          <w:rPr>
            <w:rStyle w:val="Hypertextovodkaz"/>
            <w:rFonts w:asciiTheme="minorHAnsi" w:eastAsia="Arial" w:hAnsiTheme="minorHAnsi" w:cs="Arial"/>
            <w:i/>
            <w:iCs/>
            <w:color w:val="385623" w:themeColor="accent6" w:themeShade="80"/>
            <w:sz w:val="20"/>
            <w:szCs w:val="20"/>
            <w:u w:val="none"/>
          </w:rPr>
          <w:t>www.cistadoprava,cz</w:t>
        </w:r>
      </w:hyperlink>
      <w:r w:rsidR="001273B5" w:rsidRPr="000E5B59">
        <w:rPr>
          <w:rFonts w:asciiTheme="minorHAnsi" w:eastAsia="Arial" w:hAnsiTheme="minorHAnsi" w:cs="Arial"/>
          <w:i/>
          <w:iCs/>
          <w:color w:val="385623" w:themeColor="accent6" w:themeShade="80"/>
          <w:sz w:val="20"/>
          <w:szCs w:val="20"/>
        </w:rPr>
        <w:t xml:space="preserve"> (CDV, ACEA)</w:t>
      </w:r>
    </w:p>
    <w:p w14:paraId="0750D5DE" w14:textId="5F0CE0A6"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Český trh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s</w:t>
      </w:r>
      <w:r w:rsidR="00CF2351" w:rsidRPr="00B07D79">
        <w:rPr>
          <w:rFonts w:asciiTheme="minorHAnsi" w:eastAsia="Arial" w:hAnsiTheme="minorHAnsi" w:cs="Arial"/>
          <w:szCs w:val="22"/>
        </w:rPr>
        <w:t> </w:t>
      </w:r>
      <w:r w:rsidRPr="00B07D79">
        <w:rPr>
          <w:rFonts w:asciiTheme="minorHAnsi" w:eastAsia="Arial" w:hAnsiTheme="minorHAnsi" w:cs="Arial"/>
          <w:szCs w:val="22"/>
        </w:rPr>
        <w:t>novými autobusy byl 8. největší mezi zeměmi EU. Podíl 0,12 % elektrobusů nás řadil na 23. místo, ze zemí V4 byl nižší podíl evidován na Slovensku (0,21 %), vyšší pak v</w:t>
      </w:r>
      <w:r w:rsidR="00CF2351" w:rsidRPr="00B07D79">
        <w:rPr>
          <w:rFonts w:asciiTheme="minorHAnsi" w:eastAsia="Arial" w:hAnsiTheme="minorHAnsi" w:cs="Arial"/>
          <w:szCs w:val="22"/>
        </w:rPr>
        <w:t> </w:t>
      </w:r>
      <w:r w:rsidRPr="00B07D79">
        <w:rPr>
          <w:rFonts w:asciiTheme="minorHAnsi" w:eastAsia="Arial" w:hAnsiTheme="minorHAnsi" w:cs="Arial"/>
          <w:szCs w:val="22"/>
        </w:rPr>
        <w:t>Maďarsku (6,37 %) a</w:t>
      </w:r>
      <w:r w:rsidR="00CF2351" w:rsidRPr="00B07D79">
        <w:rPr>
          <w:rFonts w:asciiTheme="minorHAnsi" w:eastAsia="Arial" w:hAnsiTheme="minorHAnsi" w:cs="Arial"/>
          <w:szCs w:val="22"/>
        </w:rPr>
        <w:t> </w:t>
      </w:r>
      <w:r w:rsidRPr="00B07D79">
        <w:rPr>
          <w:rFonts w:asciiTheme="minorHAnsi" w:eastAsia="Arial" w:hAnsiTheme="minorHAnsi" w:cs="Arial"/>
          <w:szCs w:val="22"/>
        </w:rPr>
        <w:t>v Polsku (6,91 %).</w:t>
      </w:r>
    </w:p>
    <w:p w14:paraId="43296497" w14:textId="41E50CBE" w:rsidR="00E26E3A" w:rsidRPr="009D0E24" w:rsidRDefault="00B81129" w:rsidP="000E5B59">
      <w:pPr>
        <w:pStyle w:val="Nadpis2"/>
        <w:rPr>
          <w:sz w:val="32"/>
          <w:szCs w:val="36"/>
        </w:rPr>
      </w:pPr>
      <w:bookmarkStart w:id="228" w:name="_Toc159332166"/>
      <w:bookmarkStart w:id="229" w:name="_Toc159336647"/>
      <w:bookmarkStart w:id="230" w:name="_Toc160021750"/>
      <w:bookmarkStart w:id="231" w:name="_Toc162447440"/>
      <w:bookmarkStart w:id="232" w:name="_Toc173240075"/>
      <w:r w:rsidRPr="009D0E24">
        <w:rPr>
          <w:sz w:val="32"/>
          <w:szCs w:val="36"/>
        </w:rPr>
        <w:t xml:space="preserve">Elektrická </w:t>
      </w:r>
      <w:r w:rsidR="0097152B" w:rsidRPr="009D0E24">
        <w:rPr>
          <w:sz w:val="32"/>
          <w:szCs w:val="36"/>
        </w:rPr>
        <w:t xml:space="preserve">vozidla – </w:t>
      </w:r>
      <w:r w:rsidR="008126E4" w:rsidRPr="009D0E24">
        <w:rPr>
          <w:sz w:val="32"/>
          <w:szCs w:val="36"/>
        </w:rPr>
        <w:t>Č</w:t>
      </w:r>
      <w:r w:rsidR="0097152B" w:rsidRPr="009D0E24">
        <w:rPr>
          <w:sz w:val="32"/>
          <w:szCs w:val="36"/>
        </w:rPr>
        <w:t>eská</w:t>
      </w:r>
      <w:r w:rsidR="00E26E3A" w:rsidRPr="009D0E24">
        <w:rPr>
          <w:sz w:val="32"/>
          <w:szCs w:val="36"/>
        </w:rPr>
        <w:t xml:space="preserve"> republika</w:t>
      </w:r>
      <w:bookmarkEnd w:id="228"/>
      <w:bookmarkEnd w:id="229"/>
      <w:bookmarkEnd w:id="230"/>
      <w:bookmarkEnd w:id="231"/>
      <w:bookmarkEnd w:id="232"/>
    </w:p>
    <w:p w14:paraId="2604BE83" w14:textId="55E157F7"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 xml:space="preserve">K 31. </w:t>
      </w:r>
      <w:r w:rsidR="006F26F3" w:rsidRPr="00B07D79">
        <w:rPr>
          <w:rFonts w:asciiTheme="minorHAnsi" w:eastAsia="Arial" w:hAnsiTheme="minorHAnsi" w:cs="Arial"/>
          <w:szCs w:val="22"/>
        </w:rPr>
        <w:t xml:space="preserve">prosinci </w:t>
      </w:r>
      <w:r w:rsidRPr="00B07D79">
        <w:rPr>
          <w:rFonts w:asciiTheme="minorHAnsi" w:eastAsia="Arial" w:hAnsiTheme="minorHAnsi" w:cs="Arial"/>
          <w:szCs w:val="22"/>
        </w:rPr>
        <w:t>2023 bylo v</w:t>
      </w:r>
      <w:r w:rsidR="00CF2351" w:rsidRPr="00B07D79">
        <w:rPr>
          <w:rFonts w:asciiTheme="minorHAnsi" w:eastAsia="Arial" w:hAnsiTheme="minorHAnsi" w:cs="Arial"/>
          <w:szCs w:val="22"/>
        </w:rPr>
        <w:t> </w:t>
      </w:r>
      <w:r w:rsidRPr="00B07D79">
        <w:rPr>
          <w:rFonts w:asciiTheme="minorHAnsi" w:eastAsia="Arial" w:hAnsiTheme="minorHAnsi" w:cs="Arial"/>
          <w:szCs w:val="22"/>
        </w:rPr>
        <w:t>České republice registrováno:</w:t>
      </w:r>
    </w:p>
    <w:p w14:paraId="1F0D7046" w14:textId="5BE51D83"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6 597 838 osobních automobilů,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2023 nových: 221 422</w:t>
      </w:r>
    </w:p>
    <w:p w14:paraId="6198E83F" w14:textId="7601E9B5"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635 007 lehkých užitkových vozidel,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w:t>
      </w:r>
      <w:r w:rsidR="00021371" w:rsidRPr="00B07D79">
        <w:rPr>
          <w:rFonts w:asciiTheme="minorHAnsi" w:eastAsia="Arial" w:hAnsiTheme="minorHAnsi"/>
        </w:rPr>
        <w:t>3</w:t>
      </w:r>
      <w:r w:rsidRPr="00B07D79">
        <w:rPr>
          <w:rFonts w:asciiTheme="minorHAnsi" w:eastAsia="Arial" w:hAnsiTheme="minorHAnsi"/>
        </w:rPr>
        <w:t xml:space="preserve"> nových: 22 780</w:t>
      </w:r>
    </w:p>
    <w:p w14:paraId="4212A948" w14:textId="6689D139"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188 370 nákladních automobilů,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w:t>
      </w:r>
      <w:r w:rsidR="00021371" w:rsidRPr="00B07D79">
        <w:rPr>
          <w:rFonts w:asciiTheme="minorHAnsi" w:eastAsia="Arial" w:hAnsiTheme="minorHAnsi"/>
        </w:rPr>
        <w:t>3</w:t>
      </w:r>
      <w:r w:rsidRPr="00B07D79">
        <w:rPr>
          <w:rFonts w:asciiTheme="minorHAnsi" w:eastAsia="Arial" w:hAnsiTheme="minorHAnsi"/>
        </w:rPr>
        <w:t xml:space="preserve"> nových: 10 414</w:t>
      </w:r>
    </w:p>
    <w:p w14:paraId="60F4F450" w14:textId="113726F1"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21 228 autobusů,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w:t>
      </w:r>
      <w:r w:rsidR="00021371" w:rsidRPr="00B07D79">
        <w:rPr>
          <w:rFonts w:asciiTheme="minorHAnsi" w:eastAsia="Arial" w:hAnsiTheme="minorHAnsi"/>
        </w:rPr>
        <w:t>3</w:t>
      </w:r>
      <w:r w:rsidRPr="00B07D79">
        <w:rPr>
          <w:rFonts w:asciiTheme="minorHAnsi" w:eastAsia="Arial" w:hAnsiTheme="minorHAnsi"/>
        </w:rPr>
        <w:t xml:space="preserve"> nových: 1 080</w:t>
      </w:r>
    </w:p>
    <w:p w14:paraId="304D9401" w14:textId="511D9951"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1 326 116 motocyklů,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w:t>
      </w:r>
      <w:r w:rsidR="00021371" w:rsidRPr="00B07D79">
        <w:rPr>
          <w:rFonts w:asciiTheme="minorHAnsi" w:eastAsia="Arial" w:hAnsiTheme="minorHAnsi"/>
        </w:rPr>
        <w:t>3</w:t>
      </w:r>
      <w:r w:rsidRPr="00B07D79">
        <w:rPr>
          <w:rFonts w:asciiTheme="minorHAnsi" w:eastAsia="Arial" w:hAnsiTheme="minorHAnsi"/>
        </w:rPr>
        <w:t xml:space="preserve"> nových: 26 575</w:t>
      </w:r>
    </w:p>
    <w:p w14:paraId="2B33B644" w14:textId="6C8D3BD4" w:rsidR="00E26E3A" w:rsidRPr="00B07D79" w:rsidRDefault="00E26E3A" w:rsidP="00B07D79">
      <w:pPr>
        <w:pStyle w:val="Bullet1"/>
        <w:spacing w:line="276" w:lineRule="auto"/>
        <w:jc w:val="both"/>
        <w:rPr>
          <w:rFonts w:asciiTheme="minorHAnsi" w:eastAsia="Arial" w:hAnsiTheme="minorHAnsi" w:cs="Arial"/>
          <w:i/>
          <w:iCs/>
          <w:szCs w:val="22"/>
        </w:rPr>
      </w:pPr>
      <w:r w:rsidRPr="00B07D79">
        <w:rPr>
          <w:rFonts w:asciiTheme="minorHAnsi" w:eastAsia="Arial" w:hAnsiTheme="minorHAnsi"/>
        </w:rPr>
        <w:t>212 945 traktorů, z</w:t>
      </w:r>
      <w:r w:rsidR="00CF2351" w:rsidRPr="00B07D79">
        <w:rPr>
          <w:rFonts w:asciiTheme="minorHAnsi" w:eastAsia="Arial" w:hAnsiTheme="minorHAnsi"/>
        </w:rPr>
        <w:t> </w:t>
      </w:r>
      <w:r w:rsidRPr="00B07D79">
        <w:rPr>
          <w:rFonts w:asciiTheme="minorHAnsi" w:eastAsia="Arial" w:hAnsiTheme="minorHAnsi"/>
        </w:rPr>
        <w:t>toho v</w:t>
      </w:r>
      <w:r w:rsidR="00CF2351" w:rsidRPr="00B07D79">
        <w:rPr>
          <w:rFonts w:asciiTheme="minorHAnsi" w:eastAsia="Arial" w:hAnsiTheme="minorHAnsi"/>
        </w:rPr>
        <w:t> </w:t>
      </w:r>
      <w:r w:rsidRPr="00B07D79">
        <w:rPr>
          <w:rFonts w:asciiTheme="minorHAnsi" w:eastAsia="Arial" w:hAnsiTheme="minorHAnsi"/>
        </w:rPr>
        <w:t>roce 202</w:t>
      </w:r>
      <w:r w:rsidR="00021371" w:rsidRPr="00B07D79">
        <w:rPr>
          <w:rFonts w:asciiTheme="minorHAnsi" w:eastAsia="Arial" w:hAnsiTheme="minorHAnsi"/>
        </w:rPr>
        <w:t>3</w:t>
      </w:r>
      <w:r w:rsidRPr="00B07D79">
        <w:rPr>
          <w:rFonts w:asciiTheme="minorHAnsi" w:eastAsia="Arial" w:hAnsiTheme="minorHAnsi"/>
        </w:rPr>
        <w:t xml:space="preserve"> nových: 5 954</w:t>
      </w:r>
    </w:p>
    <w:p w14:paraId="765DA87A" w14:textId="43B6B8D5" w:rsidR="003A7DBF" w:rsidRPr="009D0E24" w:rsidRDefault="00E26E3A" w:rsidP="009D0E24">
      <w:pPr>
        <w:spacing w:line="276" w:lineRule="auto"/>
        <w:jc w:val="right"/>
        <w:rPr>
          <w:rFonts w:asciiTheme="minorHAnsi" w:eastAsia="Arial" w:hAnsiTheme="minorHAnsi"/>
          <w:i/>
          <w:iCs/>
          <w:color w:val="385623" w:themeColor="accent6" w:themeShade="80"/>
          <w:sz w:val="20"/>
          <w:szCs w:val="22"/>
        </w:rPr>
      </w:pPr>
      <w:r w:rsidRPr="000E5B59">
        <w:rPr>
          <w:rFonts w:asciiTheme="minorHAnsi" w:eastAsia="Arial" w:hAnsiTheme="minorHAnsi"/>
          <w:i/>
          <w:iCs/>
          <w:color w:val="385623" w:themeColor="accent6" w:themeShade="80"/>
          <w:sz w:val="20"/>
          <w:szCs w:val="22"/>
        </w:rPr>
        <w:t>Zdroj: Svaz dovozců automobilů</w:t>
      </w:r>
    </w:p>
    <w:p w14:paraId="40F70E0A" w14:textId="239BDF02"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Ke stejnému datu bylo v</w:t>
      </w:r>
      <w:r w:rsidR="00CF2351" w:rsidRPr="00B07D79">
        <w:rPr>
          <w:rFonts w:asciiTheme="minorHAnsi" w:eastAsia="Arial" w:hAnsiTheme="minorHAnsi" w:cs="Arial"/>
          <w:szCs w:val="22"/>
        </w:rPr>
        <w:t> </w:t>
      </w:r>
      <w:r w:rsidRPr="00B07D79">
        <w:rPr>
          <w:rFonts w:asciiTheme="minorHAnsi" w:eastAsia="Arial" w:hAnsiTheme="minorHAnsi" w:cs="Arial"/>
          <w:szCs w:val="22"/>
        </w:rPr>
        <w:t>Centrálním registru vozidel evidováno:</w:t>
      </w:r>
    </w:p>
    <w:p w14:paraId="60E26AF9" w14:textId="1219D3F5"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 xml:space="preserve">22 451 osobních BEV (bateriová elektrická vozidla), </w:t>
      </w:r>
      <w:r w:rsidR="00543438" w:rsidRPr="00B07D79">
        <w:rPr>
          <w:rFonts w:asciiTheme="minorHAnsi" w:eastAsia="Arial" w:hAnsiTheme="minorHAnsi"/>
        </w:rPr>
        <w:t>15 843 PHEV</w:t>
      </w:r>
      <w:r w:rsidRPr="00B07D79">
        <w:rPr>
          <w:rFonts w:asciiTheme="minorHAnsi" w:eastAsia="Arial" w:hAnsiTheme="minorHAnsi"/>
        </w:rPr>
        <w:t xml:space="preserve"> (plug-in hybridní vozidla) a</w:t>
      </w:r>
      <w:r w:rsidR="00CF2351" w:rsidRPr="00B07D79">
        <w:rPr>
          <w:rFonts w:asciiTheme="minorHAnsi" w:eastAsia="Arial" w:hAnsiTheme="minorHAnsi"/>
        </w:rPr>
        <w:t> </w:t>
      </w:r>
      <w:r w:rsidRPr="00B07D79">
        <w:rPr>
          <w:rFonts w:asciiTheme="minorHAnsi" w:eastAsia="Arial" w:hAnsiTheme="minorHAnsi"/>
        </w:rPr>
        <w:t>28</w:t>
      </w:r>
      <w:r w:rsidR="008126E4" w:rsidRPr="00B07D79">
        <w:rPr>
          <w:rFonts w:asciiTheme="minorHAnsi" w:eastAsia="Arial" w:hAnsiTheme="minorHAnsi"/>
        </w:rPr>
        <w:t> </w:t>
      </w:r>
      <w:r w:rsidRPr="00B07D79">
        <w:rPr>
          <w:rFonts w:asciiTheme="minorHAnsi" w:eastAsia="Arial" w:hAnsiTheme="minorHAnsi"/>
        </w:rPr>
        <w:t>FCEV (elektrická vozidla s</w:t>
      </w:r>
      <w:r w:rsidR="00CF2351" w:rsidRPr="00B07D79">
        <w:rPr>
          <w:rFonts w:asciiTheme="minorHAnsi" w:eastAsia="Arial" w:hAnsiTheme="minorHAnsi"/>
        </w:rPr>
        <w:t> </w:t>
      </w:r>
      <w:r w:rsidRPr="00B07D79">
        <w:rPr>
          <w:rFonts w:asciiTheme="minorHAnsi" w:eastAsia="Arial" w:hAnsiTheme="minorHAnsi"/>
        </w:rPr>
        <w:t>vodíkovými palivovými články)</w:t>
      </w:r>
    </w:p>
    <w:p w14:paraId="692ECE63" w14:textId="77777777"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1 382 lehkých užitkových BEV</w:t>
      </w:r>
    </w:p>
    <w:p w14:paraId="43B09670" w14:textId="77777777"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23 nákladních BEV</w:t>
      </w:r>
    </w:p>
    <w:p w14:paraId="688824CC" w14:textId="77777777"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153 elektrobusů (BEV)</w:t>
      </w:r>
    </w:p>
    <w:p w14:paraId="49F88558" w14:textId="77777777" w:rsidR="00E26E3A" w:rsidRPr="00B07D79" w:rsidRDefault="00E26E3A" w:rsidP="00B07D79">
      <w:pPr>
        <w:pStyle w:val="Bullet1"/>
        <w:spacing w:line="276" w:lineRule="auto"/>
        <w:jc w:val="both"/>
        <w:rPr>
          <w:rFonts w:asciiTheme="minorHAnsi" w:eastAsia="Arial" w:hAnsiTheme="minorHAnsi"/>
        </w:rPr>
      </w:pPr>
      <w:r w:rsidRPr="00B07D79">
        <w:rPr>
          <w:rFonts w:asciiTheme="minorHAnsi" w:eastAsia="Arial" w:hAnsiTheme="minorHAnsi"/>
        </w:rPr>
        <w:t>9 970 elektromotocyklů (BEV)</w:t>
      </w:r>
    </w:p>
    <w:p w14:paraId="7C0D4BE6" w14:textId="386CD9B2" w:rsidR="00346DDE" w:rsidRPr="005E2F84" w:rsidRDefault="00E26E3A" w:rsidP="005E2F84">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2"/>
        </w:rPr>
        <w:t xml:space="preserve">Zdroj: web </w:t>
      </w:r>
      <w:hyperlink r:id="rId41" w:history="1">
        <w:r w:rsidRPr="000E5B59">
          <w:rPr>
            <w:rStyle w:val="Hypertextovodkaz"/>
            <w:rFonts w:asciiTheme="minorHAnsi" w:eastAsia="Arial" w:hAnsiTheme="minorHAnsi" w:cs="Arial"/>
            <w:i/>
            <w:iCs/>
            <w:color w:val="385623" w:themeColor="accent6" w:themeShade="80"/>
            <w:sz w:val="20"/>
            <w:szCs w:val="22"/>
            <w:u w:val="none"/>
          </w:rPr>
          <w:t>Čistá doprava</w:t>
        </w:r>
      </w:hyperlink>
      <w:r w:rsidRPr="000E5B59">
        <w:rPr>
          <w:rFonts w:asciiTheme="minorHAnsi" w:eastAsia="Arial" w:hAnsiTheme="minorHAnsi" w:cs="Arial"/>
          <w:i/>
          <w:iCs/>
          <w:color w:val="385623" w:themeColor="accent6" w:themeShade="80"/>
          <w:sz w:val="20"/>
          <w:szCs w:val="22"/>
        </w:rPr>
        <w:t xml:space="preserve"> (CDV</w:t>
      </w:r>
      <w:r w:rsidR="00543438" w:rsidRPr="000E5B59">
        <w:rPr>
          <w:rFonts w:asciiTheme="minorHAnsi" w:eastAsia="Arial" w:hAnsiTheme="minorHAnsi" w:cs="Arial"/>
          <w:i/>
          <w:iCs/>
          <w:color w:val="385623" w:themeColor="accent6" w:themeShade="80"/>
          <w:sz w:val="20"/>
          <w:szCs w:val="22"/>
        </w:rPr>
        <w:t>, MD</w:t>
      </w:r>
      <w:r w:rsidRPr="000E5B59">
        <w:rPr>
          <w:rFonts w:asciiTheme="minorHAnsi" w:eastAsia="Arial" w:hAnsiTheme="minorHAnsi" w:cs="Arial"/>
          <w:i/>
          <w:iCs/>
          <w:color w:val="385623" w:themeColor="accent6" w:themeShade="80"/>
          <w:sz w:val="20"/>
          <w:szCs w:val="22"/>
        </w:rPr>
        <w:t>)</w:t>
      </w:r>
    </w:p>
    <w:p w14:paraId="198231CC" w14:textId="663910B4"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lastRenderedPageBreak/>
        <w:t xml:space="preserve">Osobní vozidla </w:t>
      </w:r>
    </w:p>
    <w:p w14:paraId="32BD21F2" w14:textId="0FC76BC8"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 xml:space="preserve">Osobní BEV se na celkovém vozidlovém parku osobních vozidel podílela 0,34 %, </w:t>
      </w:r>
      <w:r w:rsidRPr="00B07D79">
        <w:rPr>
          <w:rFonts w:asciiTheme="minorHAnsi" w:eastAsia="Arial" w:hAnsiTheme="minorHAnsi"/>
        </w:rPr>
        <w:t>PHEV pak</w:t>
      </w:r>
      <w:r w:rsidR="00346DDE" w:rsidRPr="00B07D79">
        <w:rPr>
          <w:rFonts w:asciiTheme="minorHAnsi" w:eastAsia="Arial" w:hAnsiTheme="minorHAnsi"/>
        </w:rPr>
        <w:t> </w:t>
      </w:r>
      <w:r w:rsidRPr="00B07D79">
        <w:rPr>
          <w:rFonts w:asciiTheme="minorHAnsi" w:eastAsia="Arial" w:hAnsiTheme="minorHAnsi"/>
        </w:rPr>
        <w:t>0,</w:t>
      </w:r>
      <w:r w:rsidR="006314B4" w:rsidRPr="00B07D79">
        <w:rPr>
          <w:rFonts w:asciiTheme="minorHAnsi" w:eastAsia="Arial" w:hAnsiTheme="minorHAnsi"/>
        </w:rPr>
        <w:t>15</w:t>
      </w:r>
      <w:r w:rsidRPr="00B07D79">
        <w:rPr>
          <w:rFonts w:asciiTheme="minorHAnsi" w:eastAsia="Arial" w:hAnsiTheme="minorHAnsi"/>
        </w:rPr>
        <w:t xml:space="preserve"> %.</w:t>
      </w:r>
      <w:r w:rsidRPr="00B07D79">
        <w:rPr>
          <w:rFonts w:asciiTheme="minorHAnsi" w:eastAsia="Arial" w:hAnsiTheme="minorHAnsi" w:cs="Arial"/>
          <w:szCs w:val="22"/>
        </w:rPr>
        <w:t xml:space="preserve"> Vývoj počtu osobních BEV a</w:t>
      </w:r>
      <w:r w:rsidR="00CF2351" w:rsidRPr="00B07D79">
        <w:rPr>
          <w:rFonts w:asciiTheme="minorHAnsi" w:eastAsia="Arial" w:hAnsiTheme="minorHAnsi" w:cs="Arial"/>
          <w:szCs w:val="22"/>
        </w:rPr>
        <w:t> </w:t>
      </w:r>
      <w:r w:rsidRPr="00B07D79">
        <w:rPr>
          <w:rFonts w:asciiTheme="minorHAnsi" w:eastAsia="Arial" w:hAnsiTheme="minorHAnsi" w:cs="Arial"/>
          <w:szCs w:val="22"/>
        </w:rPr>
        <w:t>PHEV je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uvedeného obrázku. </w:t>
      </w:r>
    </w:p>
    <w:p w14:paraId="1CCC1BA8" w14:textId="028FC676" w:rsidR="00E26E3A" w:rsidRPr="000E5B59" w:rsidRDefault="00E26E3A"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color w:val="385623" w:themeColor="accent6" w:themeShade="80"/>
        </w:rPr>
        <w:t xml:space="preserve">Obrázek </w:t>
      </w:r>
      <w:r w:rsidR="003A7DBF" w:rsidRPr="000E5B59">
        <w:rPr>
          <w:rFonts w:asciiTheme="minorHAnsi" w:hAnsiTheme="minorHAnsi"/>
          <w:b w:val="0"/>
          <w:bCs w:val="0"/>
          <w:color w:val="385623" w:themeColor="accent6" w:themeShade="80"/>
        </w:rPr>
        <w:t>14</w:t>
      </w:r>
      <w:r w:rsidRPr="000E5B59">
        <w:rPr>
          <w:rFonts w:asciiTheme="minorHAnsi" w:hAnsiTheme="minorHAnsi"/>
          <w:b w:val="0"/>
          <w:bCs w:val="0"/>
          <w:color w:val="385623" w:themeColor="accent6" w:themeShade="80"/>
        </w:rPr>
        <w:t xml:space="preserve"> Vývoj registrací </w:t>
      </w:r>
      <w:r w:rsidR="004008AB" w:rsidRPr="000E5B59">
        <w:rPr>
          <w:rFonts w:asciiTheme="minorHAnsi" w:hAnsiTheme="minorHAnsi"/>
          <w:b w:val="0"/>
          <w:bCs w:val="0"/>
          <w:color w:val="385623" w:themeColor="accent6" w:themeShade="80"/>
        </w:rPr>
        <w:t xml:space="preserve">osobních </w:t>
      </w:r>
      <w:r w:rsidRPr="000E5B59">
        <w:rPr>
          <w:rFonts w:asciiTheme="minorHAnsi" w:hAnsiTheme="minorHAnsi"/>
          <w:b w:val="0"/>
          <w:bCs w:val="0"/>
          <w:color w:val="385623" w:themeColor="accent6" w:themeShade="80"/>
        </w:rPr>
        <w:t>vozidel dle typu paliva a</w:t>
      </w:r>
      <w:r w:rsidR="00CF2351" w:rsidRPr="000E5B59">
        <w:rPr>
          <w:rFonts w:asciiTheme="minorHAnsi" w:hAnsiTheme="minorHAnsi"/>
          <w:b w:val="0"/>
          <w:bCs w:val="0"/>
          <w:color w:val="385623" w:themeColor="accent6" w:themeShade="80"/>
        </w:rPr>
        <w:t> </w:t>
      </w:r>
      <w:r w:rsidRPr="000E5B59">
        <w:rPr>
          <w:rFonts w:asciiTheme="minorHAnsi" w:hAnsiTheme="minorHAnsi"/>
          <w:b w:val="0"/>
          <w:bCs w:val="0"/>
          <w:color w:val="385623" w:themeColor="accent6" w:themeShade="80"/>
        </w:rPr>
        <w:t>roku poslední registrace</w:t>
      </w:r>
    </w:p>
    <w:p w14:paraId="32D1A5F1" w14:textId="358E4EC3" w:rsidR="006337E9" w:rsidRPr="00B07D79" w:rsidRDefault="00DC2DD6"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6DD85152" wp14:editId="7341F05E">
            <wp:extent cx="5760720" cy="1876425"/>
            <wp:effectExtent l="0" t="0" r="0" b="9525"/>
            <wp:docPr id="1379243737" name="Obrázek 1" descr="Obsah obrázku text, řada/pruh, Vykreslený graf,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43737" name="Obrázek 1" descr="Obsah obrázku text, řada/pruh, Vykreslený graf, Písmo&#10;&#10;Popis byl vytvořen automaticky"/>
                    <pic:cNvPicPr/>
                  </pic:nvPicPr>
                  <pic:blipFill>
                    <a:blip r:embed="rId42">
                      <a:clrChange>
                        <a:clrFrom>
                          <a:srgbClr val="FFFFFF"/>
                        </a:clrFrom>
                        <a:clrTo>
                          <a:srgbClr val="FFFFFF">
                            <a:alpha val="0"/>
                          </a:srgbClr>
                        </a:clrTo>
                      </a:clrChange>
                    </a:blip>
                    <a:stretch>
                      <a:fillRect/>
                    </a:stretch>
                  </pic:blipFill>
                  <pic:spPr>
                    <a:xfrm>
                      <a:off x="0" y="0"/>
                      <a:ext cx="5760720" cy="1876425"/>
                    </a:xfrm>
                    <a:prstGeom prst="rect">
                      <a:avLst/>
                    </a:prstGeom>
                  </pic:spPr>
                </pic:pic>
              </a:graphicData>
            </a:graphic>
          </wp:inline>
        </w:drawing>
      </w:r>
    </w:p>
    <w:p w14:paraId="0822021A" w14:textId="2F705F04" w:rsidR="00E26E3A" w:rsidRPr="000E5B59" w:rsidRDefault="00E26E3A" w:rsidP="000E5B59">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w:t>
      </w:r>
      <w:r w:rsidR="004A1269" w:rsidRPr="000E5B59">
        <w:rPr>
          <w:rFonts w:asciiTheme="minorHAnsi" w:eastAsia="Arial" w:hAnsiTheme="minorHAnsi" w:cs="Arial"/>
          <w:i/>
          <w:iCs/>
          <w:color w:val="385623" w:themeColor="accent6" w:themeShade="80"/>
          <w:sz w:val="20"/>
          <w:szCs w:val="20"/>
        </w:rPr>
        <w:t>www.cistadoprava.cz (CDV, MD)</w:t>
      </w:r>
    </w:p>
    <w:p w14:paraId="463DED28" w14:textId="50BFE5C1" w:rsidR="004008AB" w:rsidRPr="00B07D79" w:rsidRDefault="004008AB" w:rsidP="00B07D79">
      <w:pPr>
        <w:spacing w:line="276" w:lineRule="auto"/>
        <w:jc w:val="both"/>
        <w:rPr>
          <w:rFonts w:asciiTheme="minorHAnsi" w:eastAsia="Arial" w:hAnsiTheme="minorHAnsi" w:cs="Arial"/>
          <w:i/>
          <w:iCs/>
          <w:sz w:val="20"/>
          <w:szCs w:val="20"/>
        </w:rPr>
      </w:pPr>
    </w:p>
    <w:p w14:paraId="6CDE0F3A" w14:textId="44A8E485" w:rsidR="004008AB" w:rsidRPr="00B07D79" w:rsidRDefault="004008AB" w:rsidP="00B07D79">
      <w:pPr>
        <w:spacing w:line="276" w:lineRule="auto"/>
        <w:jc w:val="both"/>
        <w:rPr>
          <w:rFonts w:asciiTheme="minorHAnsi" w:eastAsia="Arial" w:hAnsiTheme="minorHAnsi"/>
        </w:rPr>
      </w:pPr>
      <w:r w:rsidRPr="00B07D79">
        <w:rPr>
          <w:rFonts w:asciiTheme="minorHAnsi" w:eastAsia="Arial" w:hAnsiTheme="minorHAnsi"/>
        </w:rPr>
        <w:t>V roce 2023 bylo registrováno cca 8,8 tis. BEV (nové i</w:t>
      </w:r>
      <w:r w:rsidR="00CF2351" w:rsidRPr="00B07D79">
        <w:rPr>
          <w:rFonts w:asciiTheme="minorHAnsi" w:eastAsia="Arial" w:hAnsiTheme="minorHAnsi"/>
        </w:rPr>
        <w:t> </w:t>
      </w:r>
      <w:r w:rsidRPr="00B07D79">
        <w:rPr>
          <w:rFonts w:asciiTheme="minorHAnsi" w:eastAsia="Arial" w:hAnsiTheme="minorHAnsi"/>
        </w:rPr>
        <w:t>dovezené ojeté). Meziročně o</w:t>
      </w:r>
      <w:r w:rsidR="00CF2351" w:rsidRPr="00B07D79">
        <w:rPr>
          <w:rFonts w:asciiTheme="minorHAnsi" w:eastAsia="Arial" w:hAnsiTheme="minorHAnsi"/>
        </w:rPr>
        <w:t> </w:t>
      </w:r>
      <w:r w:rsidRPr="00B07D79">
        <w:rPr>
          <w:rFonts w:asciiTheme="minorHAnsi" w:eastAsia="Arial" w:hAnsiTheme="minorHAnsi"/>
        </w:rPr>
        <w:t>cca 4 tis. vozidel</w:t>
      </w:r>
      <w:r w:rsidR="00595C07" w:rsidRPr="00B07D79">
        <w:rPr>
          <w:rFonts w:asciiTheme="minorHAnsi" w:eastAsia="Arial" w:hAnsiTheme="minorHAnsi"/>
        </w:rPr>
        <w:t xml:space="preserve"> více</w:t>
      </w:r>
      <w:r w:rsidRPr="00B07D79">
        <w:rPr>
          <w:rFonts w:asciiTheme="minorHAnsi" w:eastAsia="Arial" w:hAnsiTheme="minorHAnsi"/>
        </w:rPr>
        <w:t xml:space="preserve">. </w:t>
      </w:r>
    </w:p>
    <w:p w14:paraId="1FC57DAD" w14:textId="77777777" w:rsidR="005E2F84" w:rsidRDefault="00E26E3A" w:rsidP="005E2F84">
      <w:pPr>
        <w:spacing w:line="276" w:lineRule="auto"/>
        <w:jc w:val="both"/>
        <w:rPr>
          <w:rFonts w:asciiTheme="minorHAnsi" w:eastAsia="Arial" w:hAnsiTheme="minorHAnsi" w:cs="Arial"/>
          <w:szCs w:val="22"/>
        </w:rPr>
      </w:pPr>
      <w:r w:rsidRPr="00B07D79">
        <w:rPr>
          <w:rFonts w:asciiTheme="minorHAnsi" w:eastAsia="Arial" w:hAnsiTheme="minorHAnsi" w:cs="Arial"/>
          <w:szCs w:val="22"/>
        </w:rPr>
        <w:t>Téměř pětina (17,8 %) registrovaných osobních BEV je ojetých, tzn. s</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opakovanou registrací, </w:t>
      </w:r>
      <w:r w:rsidRPr="00B07D79">
        <w:rPr>
          <w:rFonts w:asciiTheme="minorHAnsi" w:eastAsia="Arial" w:hAnsiTheme="minorHAnsi"/>
        </w:rPr>
        <w:t>v</w:t>
      </w:r>
      <w:r w:rsidR="00CF2351" w:rsidRPr="00B07D79">
        <w:rPr>
          <w:rFonts w:asciiTheme="minorHAnsi" w:eastAsia="Arial" w:hAnsiTheme="minorHAnsi"/>
        </w:rPr>
        <w:t> </w:t>
      </w:r>
      <w:r w:rsidRPr="00B07D79">
        <w:rPr>
          <w:rFonts w:asciiTheme="minorHAnsi" w:eastAsia="Arial" w:hAnsiTheme="minorHAnsi"/>
        </w:rPr>
        <w:t xml:space="preserve">případě PHEV je to </w:t>
      </w:r>
      <w:r w:rsidR="00264DE6" w:rsidRPr="00B07D79">
        <w:rPr>
          <w:rFonts w:asciiTheme="minorHAnsi" w:eastAsia="Arial" w:hAnsiTheme="minorHAnsi"/>
        </w:rPr>
        <w:t>15,5</w:t>
      </w:r>
      <w:r w:rsidRPr="00B07D79">
        <w:rPr>
          <w:rFonts w:asciiTheme="minorHAnsi" w:eastAsia="Arial" w:hAnsiTheme="minorHAnsi"/>
        </w:rPr>
        <w:t xml:space="preserve"> %.</w:t>
      </w:r>
      <w:r w:rsidRPr="00B07D79">
        <w:rPr>
          <w:rFonts w:asciiTheme="minorHAnsi" w:eastAsia="Arial" w:hAnsiTheme="minorHAnsi" w:cs="Arial"/>
          <w:szCs w:val="22"/>
        </w:rPr>
        <w:t xml:space="preserve"> Téměř 8 z</w:t>
      </w:r>
      <w:r w:rsidR="00CF2351" w:rsidRPr="00B07D79">
        <w:rPr>
          <w:rFonts w:asciiTheme="minorHAnsi" w:eastAsia="Arial" w:hAnsiTheme="minorHAnsi" w:cs="Arial"/>
          <w:szCs w:val="22"/>
        </w:rPr>
        <w:t> </w:t>
      </w:r>
      <w:r w:rsidRPr="00B07D79">
        <w:rPr>
          <w:rFonts w:asciiTheme="minorHAnsi" w:eastAsia="Arial" w:hAnsiTheme="minorHAnsi" w:cs="Arial"/>
          <w:szCs w:val="22"/>
        </w:rPr>
        <w:t>10 registrovaných EV je evidováno jako firemní, 22</w:t>
      </w:r>
      <w:r w:rsidR="00264DE6" w:rsidRPr="00B07D79">
        <w:rPr>
          <w:rFonts w:asciiTheme="minorHAnsi" w:eastAsia="Arial" w:hAnsiTheme="minorHAnsi" w:cs="Arial"/>
          <w:szCs w:val="22"/>
        </w:rPr>
        <w:t> </w:t>
      </w:r>
      <w:r w:rsidRPr="00B07D79">
        <w:rPr>
          <w:rFonts w:asciiTheme="minorHAnsi" w:eastAsia="Arial" w:hAnsiTheme="minorHAnsi" w:cs="Arial"/>
          <w:szCs w:val="22"/>
        </w:rPr>
        <w:t>%</w:t>
      </w:r>
      <w:r w:rsidR="00B73FD9" w:rsidRPr="00B07D79">
        <w:rPr>
          <w:rFonts w:asciiTheme="minorHAnsi" w:eastAsia="Arial" w:hAnsiTheme="minorHAnsi" w:cs="Arial"/>
          <w:szCs w:val="22"/>
        </w:rPr>
        <w:t> </w:t>
      </w:r>
      <w:r w:rsidRPr="00B07D79">
        <w:rPr>
          <w:rFonts w:asciiTheme="minorHAnsi" w:eastAsia="Arial" w:hAnsiTheme="minorHAnsi" w:cs="Arial"/>
          <w:szCs w:val="22"/>
        </w:rPr>
        <w:t>jsou registrace na nepodnikající fyzické osoby.</w:t>
      </w:r>
      <w:r w:rsidR="006337E9" w:rsidRPr="00B07D79">
        <w:rPr>
          <w:rFonts w:asciiTheme="minorHAnsi" w:eastAsia="Arial" w:hAnsiTheme="minorHAnsi" w:cs="Arial"/>
          <w:szCs w:val="22"/>
        </w:rPr>
        <w:t xml:space="preserve"> </w:t>
      </w:r>
      <w:bookmarkStart w:id="233" w:name="_Hlk162269504"/>
      <w:r w:rsidR="00722119" w:rsidRPr="00B07D79">
        <w:rPr>
          <w:rFonts w:asciiTheme="minorHAnsi" w:eastAsia="Arial" w:hAnsiTheme="minorHAnsi" w:cs="Arial"/>
          <w:szCs w:val="22"/>
        </w:rPr>
        <w:t xml:space="preserve"> </w:t>
      </w:r>
      <w:bookmarkEnd w:id="233"/>
    </w:p>
    <w:p w14:paraId="61E3E5B1" w14:textId="35361152" w:rsidR="00E26E3A" w:rsidRPr="000E5B59" w:rsidRDefault="00E26E3A" w:rsidP="005E2F84">
      <w:pPr>
        <w:spacing w:line="276" w:lineRule="auto"/>
        <w:jc w:val="both"/>
        <w:rPr>
          <w:rFonts w:asciiTheme="minorHAnsi" w:hAnsiTheme="minorHAnsi"/>
          <w:color w:val="385623" w:themeColor="accent6" w:themeShade="80"/>
        </w:rPr>
      </w:pPr>
      <w:r w:rsidRPr="000E5B59">
        <w:rPr>
          <w:rFonts w:asciiTheme="minorHAnsi" w:hAnsiTheme="minorHAnsi"/>
          <w:color w:val="385623" w:themeColor="accent6" w:themeShade="80"/>
        </w:rPr>
        <w:t xml:space="preserve">Obrázek </w:t>
      </w:r>
      <w:r w:rsidR="003A7DBF" w:rsidRPr="000E5B59">
        <w:rPr>
          <w:rFonts w:asciiTheme="minorHAnsi" w:hAnsiTheme="minorHAnsi"/>
          <w:color w:val="385623" w:themeColor="accent6" w:themeShade="80"/>
        </w:rPr>
        <w:t>15</w:t>
      </w:r>
      <w:r w:rsidRPr="000E5B59">
        <w:rPr>
          <w:rFonts w:asciiTheme="minorHAnsi" w:hAnsiTheme="minorHAnsi"/>
          <w:color w:val="385623" w:themeColor="accent6" w:themeShade="80"/>
        </w:rPr>
        <w:t xml:space="preserve"> Podíl registrací nových osobních vozidel dle typu paliva za rok 2023</w:t>
      </w:r>
    </w:p>
    <w:p w14:paraId="7EEF988E" w14:textId="77777777" w:rsidR="00E26E3A" w:rsidRPr="00B07D79" w:rsidRDefault="00E26E3A"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6398A5D2" wp14:editId="0143C864">
            <wp:extent cx="5753100" cy="3346450"/>
            <wp:effectExtent l="0" t="0" r="0" b="635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346450"/>
                    </a:xfrm>
                    <a:prstGeom prst="rect">
                      <a:avLst/>
                    </a:prstGeom>
                    <a:noFill/>
                    <a:ln>
                      <a:noFill/>
                    </a:ln>
                  </pic:spPr>
                </pic:pic>
              </a:graphicData>
            </a:graphic>
          </wp:inline>
        </w:drawing>
      </w:r>
    </w:p>
    <w:p w14:paraId="48BC76F2" w14:textId="38AB5B9D" w:rsidR="00E26E3A" w:rsidRPr="000E5B59" w:rsidRDefault="00E26E3A" w:rsidP="000E5B59">
      <w:pPr>
        <w:spacing w:line="276" w:lineRule="auto"/>
        <w:jc w:val="right"/>
        <w:rPr>
          <w:rFonts w:asciiTheme="minorHAnsi" w:hAnsiTheme="minorHAnsi"/>
          <w:color w:val="385623" w:themeColor="accent6" w:themeShade="80"/>
          <w:sz w:val="20"/>
          <w:szCs w:val="22"/>
        </w:rPr>
      </w:pPr>
      <w:r w:rsidRPr="000E5B59">
        <w:rPr>
          <w:rFonts w:asciiTheme="minorHAnsi" w:hAnsiTheme="minorHAnsi"/>
          <w:i/>
          <w:iCs/>
          <w:color w:val="385623" w:themeColor="accent6" w:themeShade="80"/>
          <w:sz w:val="20"/>
          <w:szCs w:val="22"/>
        </w:rPr>
        <w:t>Zdroj:</w:t>
      </w:r>
      <w:r w:rsidRPr="000E5B59">
        <w:rPr>
          <w:rFonts w:asciiTheme="minorHAnsi" w:hAnsiTheme="minorHAnsi"/>
          <w:color w:val="385623" w:themeColor="accent6" w:themeShade="80"/>
          <w:sz w:val="20"/>
          <w:szCs w:val="22"/>
        </w:rPr>
        <w:t xml:space="preserve"> </w:t>
      </w:r>
      <w:hyperlink r:id="rId45" w:history="1">
        <w:r w:rsidR="004A1269" w:rsidRPr="000E5B59">
          <w:rPr>
            <w:rStyle w:val="Hypertextovodkaz"/>
            <w:rFonts w:asciiTheme="minorHAnsi" w:hAnsiTheme="minorHAnsi"/>
            <w:color w:val="385623" w:themeColor="accent6" w:themeShade="80"/>
            <w:sz w:val="20"/>
            <w:szCs w:val="22"/>
            <w:u w:val="none"/>
          </w:rPr>
          <w:t>www.cistadoprava.cz</w:t>
        </w:r>
      </w:hyperlink>
      <w:r w:rsidR="004A1269" w:rsidRPr="000E5B59">
        <w:rPr>
          <w:rStyle w:val="Hypertextovodkaz"/>
          <w:rFonts w:asciiTheme="minorHAnsi" w:hAnsiTheme="minorHAnsi"/>
          <w:color w:val="385623" w:themeColor="accent6" w:themeShade="80"/>
          <w:sz w:val="20"/>
          <w:szCs w:val="22"/>
          <w:u w:val="none"/>
        </w:rPr>
        <w:t xml:space="preserve"> (CDV, ACEA)</w:t>
      </w:r>
    </w:p>
    <w:p w14:paraId="012C0965" w14:textId="77777777" w:rsidR="00E26E3A" w:rsidRPr="00B07D79" w:rsidRDefault="00E26E3A" w:rsidP="00B07D79">
      <w:pPr>
        <w:spacing w:line="276" w:lineRule="auto"/>
        <w:jc w:val="both"/>
        <w:rPr>
          <w:rFonts w:asciiTheme="minorHAnsi" w:hAnsiTheme="minorHAnsi"/>
        </w:rPr>
      </w:pPr>
    </w:p>
    <w:p w14:paraId="11711540" w14:textId="40BED1A9" w:rsidR="00E26E3A" w:rsidRPr="000E5B59" w:rsidRDefault="000E5B59"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noProof/>
          <w:color w:val="385623" w:themeColor="accent6" w:themeShade="80"/>
        </w:rPr>
        <w:drawing>
          <wp:anchor distT="0" distB="0" distL="114300" distR="114300" simplePos="0" relativeHeight="251680768" behindDoc="0" locked="0" layoutInCell="1" allowOverlap="1" wp14:anchorId="6AD28C20" wp14:editId="4D93F006">
            <wp:simplePos x="0" y="0"/>
            <wp:positionH relativeFrom="margin">
              <wp:align>right</wp:align>
            </wp:positionH>
            <wp:positionV relativeFrom="paragraph">
              <wp:posOffset>462915</wp:posOffset>
            </wp:positionV>
            <wp:extent cx="5800090" cy="3540125"/>
            <wp:effectExtent l="0" t="0" r="0" b="3175"/>
            <wp:wrapSquare wrapText="bothSides"/>
            <wp:docPr id="6" name="Obrázek 3"/>
            <wp:cNvGraphicFramePr/>
            <a:graphic xmlns:a="http://schemas.openxmlformats.org/drawingml/2006/main">
              <a:graphicData uri="http://schemas.openxmlformats.org/drawingml/2006/picture">
                <pic:pic xmlns:pic="http://schemas.openxmlformats.org/drawingml/2006/picture">
                  <pic:nvPicPr>
                    <pic:cNvPr id="1" name="Obrázek 3"/>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090" cy="3540125"/>
                    </a:xfrm>
                    <a:prstGeom prst="rect">
                      <a:avLst/>
                    </a:prstGeom>
                  </pic:spPr>
                </pic:pic>
              </a:graphicData>
            </a:graphic>
            <wp14:sizeRelH relativeFrom="page">
              <wp14:pctWidth>0</wp14:pctWidth>
            </wp14:sizeRelH>
            <wp14:sizeRelV relativeFrom="page">
              <wp14:pctHeight>0</wp14:pctHeight>
            </wp14:sizeRelV>
          </wp:anchor>
        </w:drawing>
      </w:r>
      <w:r w:rsidR="00E26E3A" w:rsidRPr="000E5B59">
        <w:rPr>
          <w:rFonts w:asciiTheme="minorHAnsi" w:hAnsiTheme="minorHAnsi"/>
          <w:b w:val="0"/>
          <w:bCs w:val="0"/>
          <w:color w:val="385623" w:themeColor="accent6" w:themeShade="80"/>
        </w:rPr>
        <w:t xml:space="preserve">Obrázek </w:t>
      </w:r>
      <w:r w:rsidR="003A7DBF" w:rsidRPr="000E5B59">
        <w:rPr>
          <w:rFonts w:asciiTheme="minorHAnsi" w:hAnsiTheme="minorHAnsi"/>
          <w:b w:val="0"/>
          <w:bCs w:val="0"/>
          <w:color w:val="385623" w:themeColor="accent6" w:themeShade="80"/>
        </w:rPr>
        <w:t>16</w:t>
      </w:r>
      <w:r w:rsidR="00E26E3A" w:rsidRPr="000E5B59">
        <w:rPr>
          <w:rFonts w:asciiTheme="minorHAnsi" w:hAnsiTheme="minorHAnsi"/>
          <w:b w:val="0"/>
          <w:bCs w:val="0"/>
          <w:color w:val="385623" w:themeColor="accent6" w:themeShade="80"/>
        </w:rPr>
        <w:t xml:space="preserve"> Podíly registrovaných vozidel dle typu paliva, dle provozovatele</w:t>
      </w:r>
      <w:r w:rsidR="00BE7201" w:rsidRPr="000E5B59">
        <w:rPr>
          <w:rFonts w:asciiTheme="minorHAnsi" w:hAnsiTheme="minorHAnsi"/>
          <w:b w:val="0"/>
          <w:bCs w:val="0"/>
          <w:color w:val="385623" w:themeColor="accent6" w:themeShade="80"/>
        </w:rPr>
        <w:t xml:space="preserve"> </w:t>
      </w:r>
      <w:r w:rsidR="00E26E3A" w:rsidRPr="000E5B59">
        <w:rPr>
          <w:rFonts w:asciiTheme="minorHAnsi" w:hAnsiTheme="minorHAnsi"/>
          <w:b w:val="0"/>
          <w:bCs w:val="0"/>
          <w:color w:val="385623" w:themeColor="accent6" w:themeShade="80"/>
        </w:rPr>
        <w:t>2023</w:t>
      </w:r>
    </w:p>
    <w:p w14:paraId="5B0802F0" w14:textId="77777777" w:rsidR="000E5B59" w:rsidRPr="000E5B59" w:rsidRDefault="000E5B59" w:rsidP="000E5B59">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Centrum dopravního výzkumu </w:t>
      </w:r>
    </w:p>
    <w:p w14:paraId="7FFD9C3F" w14:textId="78FEF6F7" w:rsidR="006337E9" w:rsidRPr="000E5B59" w:rsidRDefault="00C66466" w:rsidP="00B07D79">
      <w:pPr>
        <w:spacing w:line="276" w:lineRule="auto"/>
        <w:jc w:val="both"/>
        <w:rPr>
          <w:rFonts w:asciiTheme="minorHAnsi" w:eastAsia="Arial" w:hAnsiTheme="minorHAnsi"/>
        </w:rPr>
      </w:pPr>
      <w:r w:rsidRPr="00B07D79">
        <w:rPr>
          <w:rFonts w:asciiTheme="minorHAnsi" w:eastAsia="Arial" w:hAnsiTheme="minorHAnsi"/>
        </w:rPr>
        <w:t>V roce 2023 ve třech státech (Dánsko, Finsko a</w:t>
      </w:r>
      <w:r w:rsidR="00CF2351" w:rsidRPr="00B07D79">
        <w:rPr>
          <w:rFonts w:asciiTheme="minorHAnsi" w:eastAsia="Arial" w:hAnsiTheme="minorHAnsi"/>
        </w:rPr>
        <w:t> </w:t>
      </w:r>
      <w:r w:rsidRPr="00B07D79">
        <w:rPr>
          <w:rFonts w:asciiTheme="minorHAnsi" w:eastAsia="Arial" w:hAnsiTheme="minorHAnsi"/>
        </w:rPr>
        <w:t>Švédsko) BEV se podílely na cca třetině a</w:t>
      </w:r>
      <w:r w:rsidR="00CF2351" w:rsidRPr="00B07D79">
        <w:rPr>
          <w:rFonts w:asciiTheme="minorHAnsi" w:eastAsia="Arial" w:hAnsiTheme="minorHAnsi"/>
        </w:rPr>
        <w:t> </w:t>
      </w:r>
      <w:r w:rsidRPr="00B07D79">
        <w:rPr>
          <w:rFonts w:asciiTheme="minorHAnsi" w:eastAsia="Arial" w:hAnsiTheme="minorHAnsi"/>
        </w:rPr>
        <w:t>(Belgie, Finsko a</w:t>
      </w:r>
      <w:r w:rsidR="00CF2351" w:rsidRPr="00B07D79">
        <w:rPr>
          <w:rFonts w:asciiTheme="minorHAnsi" w:eastAsia="Arial" w:hAnsiTheme="minorHAnsi"/>
        </w:rPr>
        <w:t> </w:t>
      </w:r>
      <w:r w:rsidRPr="00B07D79">
        <w:rPr>
          <w:rFonts w:asciiTheme="minorHAnsi" w:eastAsia="Arial" w:hAnsiTheme="minorHAnsi"/>
        </w:rPr>
        <w:t xml:space="preserve">Švédsko) představovaly PHEV více jak pětinu nově registrovaných OA. </w:t>
      </w:r>
      <w:r w:rsidR="00FD1A92" w:rsidRPr="00B07D79">
        <w:rPr>
          <w:rFonts w:asciiTheme="minorHAnsi" w:eastAsia="Arial" w:hAnsiTheme="minorHAnsi"/>
        </w:rPr>
        <w:t>Z</w:t>
      </w:r>
      <w:r w:rsidR="00CF2351" w:rsidRPr="00B07D79">
        <w:rPr>
          <w:rFonts w:asciiTheme="minorHAnsi" w:eastAsia="Arial" w:hAnsiTheme="minorHAnsi"/>
        </w:rPr>
        <w:t> </w:t>
      </w:r>
      <w:r w:rsidR="00FD1A92" w:rsidRPr="00B07D79">
        <w:rPr>
          <w:rFonts w:asciiTheme="minorHAnsi" w:eastAsia="Arial" w:hAnsiTheme="minorHAnsi"/>
        </w:rPr>
        <w:t xml:space="preserve">hlediska klasických paliv tak největší zastoupení na prodejích měly </w:t>
      </w:r>
      <w:r w:rsidR="006261E2" w:rsidRPr="00B07D79">
        <w:rPr>
          <w:rFonts w:asciiTheme="minorHAnsi" w:eastAsia="Arial" w:hAnsiTheme="minorHAnsi"/>
        </w:rPr>
        <w:t>dieselové</w:t>
      </w:r>
      <w:r w:rsidR="00FD1A92" w:rsidRPr="00B07D79">
        <w:rPr>
          <w:rFonts w:asciiTheme="minorHAnsi" w:eastAsia="Arial" w:hAnsiTheme="minorHAnsi"/>
        </w:rPr>
        <w:t xml:space="preserve"> verze v</w:t>
      </w:r>
      <w:r w:rsidR="00CF2351" w:rsidRPr="00B07D79">
        <w:rPr>
          <w:rFonts w:asciiTheme="minorHAnsi" w:eastAsia="Arial" w:hAnsiTheme="minorHAnsi"/>
        </w:rPr>
        <w:t> </w:t>
      </w:r>
      <w:r w:rsidR="00FD1A92" w:rsidRPr="00B07D79">
        <w:rPr>
          <w:rFonts w:asciiTheme="minorHAnsi" w:eastAsia="Arial" w:hAnsiTheme="minorHAnsi"/>
        </w:rPr>
        <w:t>Irsku, Bulharsku a</w:t>
      </w:r>
      <w:r w:rsidR="00CF2351" w:rsidRPr="00B07D79">
        <w:rPr>
          <w:rFonts w:asciiTheme="minorHAnsi" w:eastAsia="Arial" w:hAnsiTheme="minorHAnsi"/>
        </w:rPr>
        <w:t> </w:t>
      </w:r>
      <w:r w:rsidR="00FD1A92" w:rsidRPr="00B07D79">
        <w:rPr>
          <w:rFonts w:asciiTheme="minorHAnsi" w:eastAsia="Arial" w:hAnsiTheme="minorHAnsi"/>
        </w:rPr>
        <w:t>ČR. U</w:t>
      </w:r>
      <w:r w:rsidR="00CF2351" w:rsidRPr="00B07D79">
        <w:rPr>
          <w:rFonts w:asciiTheme="minorHAnsi" w:eastAsia="Arial" w:hAnsiTheme="minorHAnsi"/>
        </w:rPr>
        <w:t> </w:t>
      </w:r>
      <w:r w:rsidR="00B8520E" w:rsidRPr="00B07D79">
        <w:rPr>
          <w:rFonts w:asciiTheme="minorHAnsi" w:eastAsia="Arial" w:hAnsiTheme="minorHAnsi"/>
        </w:rPr>
        <w:t>benzínových</w:t>
      </w:r>
      <w:r w:rsidR="00FD1A92" w:rsidRPr="00B07D79">
        <w:rPr>
          <w:rFonts w:asciiTheme="minorHAnsi" w:eastAsia="Arial" w:hAnsiTheme="minorHAnsi"/>
        </w:rPr>
        <w:t xml:space="preserve"> vozidel největší podíl měla </w:t>
      </w:r>
      <w:r w:rsidR="00B8520E" w:rsidRPr="00B07D79">
        <w:rPr>
          <w:rFonts w:asciiTheme="minorHAnsi" w:eastAsia="Arial" w:hAnsiTheme="minorHAnsi"/>
        </w:rPr>
        <w:t>podíl v</w:t>
      </w:r>
      <w:r w:rsidR="00CF2351" w:rsidRPr="00B07D79">
        <w:rPr>
          <w:rFonts w:asciiTheme="minorHAnsi" w:eastAsia="Arial" w:hAnsiTheme="minorHAnsi"/>
        </w:rPr>
        <w:t> </w:t>
      </w:r>
      <w:r w:rsidR="00B8520E" w:rsidRPr="00B07D79">
        <w:rPr>
          <w:rFonts w:asciiTheme="minorHAnsi" w:eastAsia="Arial" w:hAnsiTheme="minorHAnsi"/>
        </w:rPr>
        <w:t>Bulharsku, Slovinsku a</w:t>
      </w:r>
      <w:r w:rsidR="00CF2351" w:rsidRPr="00B07D79">
        <w:rPr>
          <w:rFonts w:asciiTheme="minorHAnsi" w:eastAsia="Arial" w:hAnsiTheme="minorHAnsi"/>
        </w:rPr>
        <w:t> </w:t>
      </w:r>
      <w:r w:rsidR="00B8520E" w:rsidRPr="00B07D79">
        <w:rPr>
          <w:rFonts w:asciiTheme="minorHAnsi" w:eastAsia="Arial" w:hAnsiTheme="minorHAnsi"/>
        </w:rPr>
        <w:t>ČR.</w:t>
      </w:r>
    </w:p>
    <w:p w14:paraId="7039D788" w14:textId="1166CAF0"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Nejvíce, 11 481 osobních EV je registrováno v</w:t>
      </w:r>
      <w:r w:rsidR="00CF2351" w:rsidRPr="00B07D79">
        <w:rPr>
          <w:rFonts w:asciiTheme="minorHAnsi" w:eastAsia="Arial" w:hAnsiTheme="minorHAnsi" w:cs="Arial"/>
          <w:szCs w:val="22"/>
        </w:rPr>
        <w:t> </w:t>
      </w:r>
      <w:r w:rsidRPr="00B07D79">
        <w:rPr>
          <w:rFonts w:asciiTheme="minorHAnsi" w:eastAsia="Arial" w:hAnsiTheme="minorHAnsi" w:cs="Arial"/>
          <w:szCs w:val="22"/>
        </w:rPr>
        <w:t>hl. m. Praze, z</w:t>
      </w:r>
      <w:r w:rsidR="00CF2351" w:rsidRPr="00B07D79">
        <w:rPr>
          <w:rFonts w:asciiTheme="minorHAnsi" w:eastAsia="Arial" w:hAnsiTheme="minorHAnsi" w:cs="Arial"/>
          <w:szCs w:val="22"/>
        </w:rPr>
        <w:t> </w:t>
      </w:r>
      <w:r w:rsidRPr="00B07D79">
        <w:rPr>
          <w:rFonts w:asciiTheme="minorHAnsi" w:eastAsia="Arial" w:hAnsiTheme="minorHAnsi" w:cs="Arial"/>
          <w:szCs w:val="22"/>
        </w:rPr>
        <w:t>celkového počtu 22 451 EV se</w:t>
      </w:r>
      <w:r w:rsidR="008126E4" w:rsidRPr="00B07D79">
        <w:rPr>
          <w:rFonts w:asciiTheme="minorHAnsi" w:eastAsia="Arial" w:hAnsiTheme="minorHAnsi" w:cs="Arial"/>
          <w:szCs w:val="22"/>
        </w:rPr>
        <w:t> </w:t>
      </w:r>
      <w:r w:rsidRPr="00B07D79">
        <w:rPr>
          <w:rFonts w:asciiTheme="minorHAnsi" w:eastAsia="Arial" w:hAnsiTheme="minorHAnsi" w:cs="Arial"/>
          <w:szCs w:val="22"/>
        </w:rPr>
        <w:t>tak jedná o</w:t>
      </w:r>
      <w:r w:rsidR="00CF2351" w:rsidRPr="00B07D79">
        <w:rPr>
          <w:rFonts w:asciiTheme="minorHAnsi" w:eastAsia="Arial" w:hAnsiTheme="minorHAnsi" w:cs="Arial"/>
          <w:szCs w:val="22"/>
        </w:rPr>
        <w:t> </w:t>
      </w:r>
      <w:r w:rsidRPr="00B07D79">
        <w:rPr>
          <w:rFonts w:asciiTheme="minorHAnsi" w:eastAsia="Arial" w:hAnsiTheme="minorHAnsi" w:cs="Arial"/>
          <w:szCs w:val="22"/>
        </w:rPr>
        <w:t>51 %. Dalšími kraji s</w:t>
      </w:r>
      <w:r w:rsidR="00CF2351" w:rsidRPr="00B07D79">
        <w:rPr>
          <w:rFonts w:asciiTheme="minorHAnsi" w:eastAsia="Arial" w:hAnsiTheme="minorHAnsi" w:cs="Arial"/>
          <w:szCs w:val="22"/>
        </w:rPr>
        <w:t> </w:t>
      </w:r>
      <w:r w:rsidRPr="00B07D79">
        <w:rPr>
          <w:rFonts w:asciiTheme="minorHAnsi" w:eastAsia="Arial" w:hAnsiTheme="minorHAnsi" w:cs="Arial"/>
          <w:szCs w:val="22"/>
        </w:rPr>
        <w:t>nejvyšším počtem osobních EV jsou Středočeský a</w:t>
      </w:r>
      <w:r w:rsidR="00CF2351" w:rsidRPr="00B07D79">
        <w:rPr>
          <w:rFonts w:asciiTheme="minorHAnsi" w:eastAsia="Arial" w:hAnsiTheme="minorHAnsi" w:cs="Arial"/>
          <w:szCs w:val="22"/>
        </w:rPr>
        <w:t> </w:t>
      </w:r>
      <w:r w:rsidRPr="00B07D79">
        <w:rPr>
          <w:rFonts w:asciiTheme="minorHAnsi" w:eastAsia="Arial" w:hAnsiTheme="minorHAnsi" w:cs="Arial"/>
          <w:szCs w:val="22"/>
        </w:rPr>
        <w:t>Jihomoravský kraj. Zde je nutné vzít v</w:t>
      </w:r>
      <w:r w:rsidR="00CF2351" w:rsidRPr="00B07D79">
        <w:rPr>
          <w:rFonts w:asciiTheme="minorHAnsi" w:eastAsia="Arial" w:hAnsiTheme="minorHAnsi" w:cs="Arial"/>
          <w:szCs w:val="22"/>
        </w:rPr>
        <w:t> </w:t>
      </w:r>
      <w:r w:rsidRPr="00B07D79">
        <w:rPr>
          <w:rFonts w:asciiTheme="minorHAnsi" w:eastAsia="Arial" w:hAnsiTheme="minorHAnsi" w:cs="Arial"/>
          <w:szCs w:val="22"/>
        </w:rPr>
        <w:t>potaz, že vozidlo může být někde registrováno a</w:t>
      </w:r>
      <w:r w:rsidR="00CF2351" w:rsidRPr="00B07D79">
        <w:rPr>
          <w:rFonts w:asciiTheme="minorHAnsi" w:eastAsia="Arial" w:hAnsiTheme="minorHAnsi" w:cs="Arial"/>
          <w:szCs w:val="22"/>
        </w:rPr>
        <w:t> </w:t>
      </w:r>
      <w:r w:rsidRPr="00B07D79">
        <w:rPr>
          <w:rFonts w:asciiTheme="minorHAnsi" w:eastAsia="Arial" w:hAnsiTheme="minorHAnsi" w:cs="Arial"/>
          <w:szCs w:val="22"/>
        </w:rPr>
        <w:t>reálně jezdí někde jinde – např. vozidla leasingových společností, sídla velkých společností v</w:t>
      </w:r>
      <w:r w:rsidR="00CF2351" w:rsidRPr="00B07D79">
        <w:rPr>
          <w:rFonts w:asciiTheme="minorHAnsi" w:eastAsia="Arial" w:hAnsiTheme="minorHAnsi" w:cs="Arial"/>
          <w:szCs w:val="22"/>
        </w:rPr>
        <w:t> </w:t>
      </w:r>
      <w:r w:rsidRPr="00B07D79">
        <w:rPr>
          <w:rFonts w:asciiTheme="minorHAnsi" w:eastAsia="Arial" w:hAnsiTheme="minorHAnsi" w:cs="Arial"/>
          <w:szCs w:val="22"/>
        </w:rPr>
        <w:t>Praze apod.</w:t>
      </w:r>
    </w:p>
    <w:p w14:paraId="760E61EE" w14:textId="6602E30B" w:rsidR="00E26E3A" w:rsidRPr="000E5B59" w:rsidRDefault="00E26E3A" w:rsidP="00B07D79">
      <w:pPr>
        <w:pStyle w:val="Titulek"/>
        <w:keepNext/>
        <w:spacing w:line="276" w:lineRule="auto"/>
        <w:jc w:val="both"/>
        <w:rPr>
          <w:rFonts w:asciiTheme="minorHAnsi" w:hAnsiTheme="minorHAnsi"/>
          <w:b w:val="0"/>
          <w:bCs w:val="0"/>
          <w:color w:val="385623" w:themeColor="accent6" w:themeShade="80"/>
        </w:rPr>
      </w:pPr>
      <w:r w:rsidRPr="000E5B59">
        <w:rPr>
          <w:rFonts w:asciiTheme="minorHAnsi" w:hAnsiTheme="minorHAnsi"/>
          <w:b w:val="0"/>
          <w:bCs w:val="0"/>
          <w:color w:val="385623" w:themeColor="accent6" w:themeShade="80"/>
        </w:rPr>
        <w:lastRenderedPageBreak/>
        <w:t xml:space="preserve">Obrázek </w:t>
      </w:r>
      <w:r w:rsidR="003A7DBF" w:rsidRPr="000E5B59">
        <w:rPr>
          <w:rFonts w:asciiTheme="minorHAnsi" w:hAnsiTheme="minorHAnsi"/>
          <w:b w:val="0"/>
          <w:bCs w:val="0"/>
          <w:color w:val="385623" w:themeColor="accent6" w:themeShade="80"/>
        </w:rPr>
        <w:t>17</w:t>
      </w:r>
      <w:r w:rsidRPr="000E5B59">
        <w:rPr>
          <w:rFonts w:asciiTheme="minorHAnsi" w:hAnsiTheme="minorHAnsi"/>
          <w:b w:val="0"/>
          <w:bCs w:val="0"/>
          <w:color w:val="385623" w:themeColor="accent6" w:themeShade="80"/>
        </w:rPr>
        <w:t xml:space="preserve"> Počet registrovaných vozidel v</w:t>
      </w:r>
      <w:r w:rsidR="00CF2351" w:rsidRPr="000E5B59">
        <w:rPr>
          <w:rFonts w:asciiTheme="minorHAnsi" w:hAnsiTheme="minorHAnsi"/>
          <w:b w:val="0"/>
          <w:bCs w:val="0"/>
          <w:color w:val="385623" w:themeColor="accent6" w:themeShade="80"/>
        </w:rPr>
        <w:t> </w:t>
      </w:r>
      <w:r w:rsidRPr="000E5B59">
        <w:rPr>
          <w:rFonts w:asciiTheme="minorHAnsi" w:hAnsiTheme="minorHAnsi"/>
          <w:b w:val="0"/>
          <w:bCs w:val="0"/>
          <w:color w:val="385623" w:themeColor="accent6" w:themeShade="80"/>
        </w:rPr>
        <w:t xml:space="preserve">jednotlivých krajích </w:t>
      </w:r>
    </w:p>
    <w:p w14:paraId="20CFEC76" w14:textId="1D7D2205" w:rsidR="00E26E3A" w:rsidRPr="00B07D79" w:rsidRDefault="008D3A19" w:rsidP="00B07D79">
      <w:pPr>
        <w:keepNext/>
        <w:spacing w:line="276" w:lineRule="auto"/>
        <w:jc w:val="both"/>
        <w:rPr>
          <w:rFonts w:asciiTheme="minorHAnsi" w:hAnsiTheme="minorHAnsi"/>
        </w:rPr>
      </w:pPr>
      <w:r w:rsidRPr="00B07D79">
        <w:rPr>
          <w:rFonts w:asciiTheme="minorHAnsi" w:eastAsia="Arial" w:hAnsiTheme="minorHAnsi" w:cs="Arial"/>
          <w:noProof/>
          <w:color w:val="FF0000"/>
          <w:szCs w:val="22"/>
        </w:rPr>
        <w:drawing>
          <wp:inline distT="0" distB="0" distL="0" distR="0" wp14:anchorId="286504A7" wp14:editId="3F6C06A6">
            <wp:extent cx="5760720" cy="2135846"/>
            <wp:effectExtent l="0" t="0" r="0" b="0"/>
            <wp:docPr id="182503520" name="Obrázek 1825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27979"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60720" cy="2135846"/>
                    </a:xfrm>
                    <a:prstGeom prst="rect">
                      <a:avLst/>
                    </a:prstGeom>
                  </pic:spPr>
                </pic:pic>
              </a:graphicData>
            </a:graphic>
          </wp:inline>
        </w:drawing>
      </w:r>
    </w:p>
    <w:p w14:paraId="63AF2E3A" w14:textId="648ED409" w:rsidR="00E26E3A" w:rsidRPr="000E5B59" w:rsidRDefault="00E26E3A" w:rsidP="000E5B59">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w:t>
      </w:r>
      <w:r w:rsidR="004A1269" w:rsidRPr="000E5B59">
        <w:rPr>
          <w:rFonts w:asciiTheme="minorHAnsi" w:eastAsia="Arial" w:hAnsiTheme="minorHAnsi" w:cs="Arial"/>
          <w:i/>
          <w:iCs/>
          <w:color w:val="385623" w:themeColor="accent6" w:themeShade="80"/>
          <w:sz w:val="20"/>
          <w:szCs w:val="20"/>
        </w:rPr>
        <w:t>www.cistadoprava.cz (CDV, MD)</w:t>
      </w:r>
    </w:p>
    <w:p w14:paraId="11B208CB" w14:textId="77777777"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Lehká užitková vozidla</w:t>
      </w:r>
    </w:p>
    <w:p w14:paraId="7607FE4D" w14:textId="6707D938"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BEV se na celkovém vozidlovém parku nově registrovaných LUV podílela 1,5 %. Vývoj počtu BLUEV je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uvedeného obrázku. Z</w:t>
      </w:r>
      <w:r w:rsidR="00CF2351" w:rsidRPr="00B07D79">
        <w:rPr>
          <w:rFonts w:asciiTheme="minorHAnsi" w:eastAsia="Arial" w:hAnsiTheme="minorHAnsi" w:cs="Arial"/>
          <w:szCs w:val="22"/>
        </w:rPr>
        <w:t> </w:t>
      </w:r>
      <w:r w:rsidRPr="00B07D79">
        <w:rPr>
          <w:rFonts w:asciiTheme="minorHAnsi" w:eastAsia="Arial" w:hAnsiTheme="minorHAnsi" w:cs="Arial"/>
          <w:szCs w:val="22"/>
        </w:rPr>
        <w:t>celkového počtu 1 382 LUV jich 44</w:t>
      </w:r>
      <w:r w:rsidR="00303348" w:rsidRPr="00B07D79">
        <w:rPr>
          <w:rFonts w:asciiTheme="minorHAnsi" w:eastAsia="Arial" w:hAnsiTheme="minorHAnsi" w:cs="Arial"/>
          <w:szCs w:val="22"/>
        </w:rPr>
        <w:t>3</w:t>
      </w:r>
      <w:r w:rsidRPr="00B07D79">
        <w:rPr>
          <w:rFonts w:asciiTheme="minorHAnsi" w:eastAsia="Arial" w:hAnsiTheme="minorHAnsi" w:cs="Arial"/>
          <w:szCs w:val="22"/>
        </w:rPr>
        <w:t xml:space="preserve"> bylo registrováno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tj. 33 %.</w:t>
      </w:r>
    </w:p>
    <w:p w14:paraId="0352A1C2" w14:textId="57F15091" w:rsidR="00DF46AB" w:rsidRPr="000E5B59" w:rsidRDefault="00E26E3A" w:rsidP="000E5B59">
      <w:pPr>
        <w:pStyle w:val="Titulek"/>
        <w:spacing w:line="276" w:lineRule="auto"/>
        <w:jc w:val="both"/>
        <w:rPr>
          <w:rFonts w:asciiTheme="minorHAnsi" w:hAnsiTheme="minorHAnsi"/>
          <w:b w:val="0"/>
          <w:bCs w:val="0"/>
          <w:noProof/>
          <w:color w:val="385623" w:themeColor="accent6" w:themeShade="80"/>
        </w:rPr>
      </w:pPr>
      <w:r w:rsidRPr="000E5B59">
        <w:rPr>
          <w:rFonts w:asciiTheme="minorHAnsi" w:hAnsiTheme="minorHAnsi"/>
          <w:b w:val="0"/>
          <w:bCs w:val="0"/>
          <w:color w:val="385623" w:themeColor="accent6" w:themeShade="80"/>
        </w:rPr>
        <w:t xml:space="preserve">Obrázek </w:t>
      </w:r>
      <w:r w:rsidR="003A7DBF" w:rsidRPr="000E5B59">
        <w:rPr>
          <w:rFonts w:asciiTheme="minorHAnsi" w:hAnsiTheme="minorHAnsi"/>
          <w:b w:val="0"/>
          <w:bCs w:val="0"/>
          <w:color w:val="385623" w:themeColor="accent6" w:themeShade="80"/>
        </w:rPr>
        <w:t>18</w:t>
      </w:r>
      <w:r w:rsidRPr="000E5B59">
        <w:rPr>
          <w:rFonts w:asciiTheme="minorHAnsi" w:hAnsiTheme="minorHAnsi"/>
          <w:b w:val="0"/>
          <w:bCs w:val="0"/>
          <w:color w:val="385623" w:themeColor="accent6" w:themeShade="80"/>
        </w:rPr>
        <w:t xml:space="preserve"> Vývoj registrací </w:t>
      </w:r>
      <w:r w:rsidR="00DC2DD6" w:rsidRPr="000E5B59">
        <w:rPr>
          <w:rFonts w:asciiTheme="minorHAnsi" w:hAnsiTheme="minorHAnsi"/>
          <w:b w:val="0"/>
          <w:bCs w:val="0"/>
          <w:color w:val="385623" w:themeColor="accent6" w:themeShade="80"/>
        </w:rPr>
        <w:t xml:space="preserve">LUV </w:t>
      </w:r>
      <w:r w:rsidRPr="000E5B59">
        <w:rPr>
          <w:rFonts w:asciiTheme="minorHAnsi" w:hAnsiTheme="minorHAnsi"/>
          <w:b w:val="0"/>
          <w:bCs w:val="0"/>
          <w:color w:val="385623" w:themeColor="accent6" w:themeShade="80"/>
        </w:rPr>
        <w:t>dle typu paliva a</w:t>
      </w:r>
      <w:r w:rsidR="00CF2351" w:rsidRPr="000E5B59">
        <w:rPr>
          <w:rFonts w:asciiTheme="minorHAnsi" w:hAnsiTheme="minorHAnsi"/>
          <w:b w:val="0"/>
          <w:bCs w:val="0"/>
          <w:color w:val="385623" w:themeColor="accent6" w:themeShade="80"/>
        </w:rPr>
        <w:t> </w:t>
      </w:r>
      <w:r w:rsidRPr="000E5B59">
        <w:rPr>
          <w:rFonts w:asciiTheme="minorHAnsi" w:hAnsiTheme="minorHAnsi"/>
          <w:b w:val="0"/>
          <w:bCs w:val="0"/>
          <w:color w:val="385623" w:themeColor="accent6" w:themeShade="80"/>
        </w:rPr>
        <w:t>roku poslední registrace</w:t>
      </w:r>
      <w:r w:rsidR="00DC2DD6" w:rsidRPr="000E5B59">
        <w:rPr>
          <w:rFonts w:asciiTheme="minorHAnsi" w:hAnsiTheme="minorHAnsi"/>
          <w:b w:val="0"/>
          <w:bCs w:val="0"/>
          <w:noProof/>
          <w:color w:val="385623" w:themeColor="accent6" w:themeShade="80"/>
        </w:rPr>
        <w:t xml:space="preserve"> </w:t>
      </w:r>
      <w:r w:rsidR="00DC2DD6" w:rsidRPr="000E5B59">
        <w:rPr>
          <w:rFonts w:asciiTheme="minorHAnsi" w:hAnsiTheme="minorHAnsi"/>
          <w:b w:val="0"/>
          <w:bCs w:val="0"/>
          <w:noProof/>
          <w:color w:val="385623" w:themeColor="accent6" w:themeShade="80"/>
        </w:rPr>
        <w:drawing>
          <wp:inline distT="0" distB="0" distL="0" distR="0" wp14:anchorId="30367366" wp14:editId="2E47DA6F">
            <wp:extent cx="5862183" cy="1916582"/>
            <wp:effectExtent l="0" t="0" r="5715" b="7620"/>
            <wp:docPr id="818206677" name="Obrázek 1" descr="Obsah obrázku text, diagram,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06677" name="Obrázek 1" descr="Obsah obrázku text, diagram, snímek obrazovky, řada/pruh&#10;&#10;Popis byl vytvořen automaticky"/>
                    <pic:cNvPicPr/>
                  </pic:nvPicPr>
                  <pic:blipFill>
                    <a:blip r:embed="rId48"/>
                    <a:stretch>
                      <a:fillRect/>
                    </a:stretch>
                  </pic:blipFill>
                  <pic:spPr>
                    <a:xfrm>
                      <a:off x="0" y="0"/>
                      <a:ext cx="5891524" cy="1926175"/>
                    </a:xfrm>
                    <a:prstGeom prst="rect">
                      <a:avLst/>
                    </a:prstGeom>
                  </pic:spPr>
                </pic:pic>
              </a:graphicData>
            </a:graphic>
          </wp:inline>
        </w:drawing>
      </w:r>
    </w:p>
    <w:p w14:paraId="017E7F76" w14:textId="2DCCF266" w:rsidR="00E26E3A" w:rsidRPr="000E5B59" w:rsidRDefault="00E26E3A" w:rsidP="000E5B59">
      <w:pPr>
        <w:spacing w:line="276" w:lineRule="auto"/>
        <w:jc w:val="right"/>
        <w:rPr>
          <w:rFonts w:asciiTheme="minorHAnsi" w:eastAsia="Arial" w:hAnsiTheme="minorHAnsi" w:cs="Arial"/>
          <w:i/>
          <w:iCs/>
          <w:color w:val="385623" w:themeColor="accent6" w:themeShade="80"/>
          <w:sz w:val="20"/>
          <w:szCs w:val="20"/>
        </w:rPr>
      </w:pPr>
      <w:r w:rsidRPr="000E5B59">
        <w:rPr>
          <w:rFonts w:asciiTheme="minorHAnsi" w:eastAsia="Arial" w:hAnsiTheme="minorHAnsi" w:cs="Arial"/>
          <w:i/>
          <w:iCs/>
          <w:color w:val="385623" w:themeColor="accent6" w:themeShade="80"/>
          <w:sz w:val="20"/>
          <w:szCs w:val="20"/>
        </w:rPr>
        <w:t xml:space="preserve">Zdroj: </w:t>
      </w:r>
      <w:r w:rsidR="004A1269" w:rsidRPr="000E5B59">
        <w:rPr>
          <w:rFonts w:asciiTheme="minorHAnsi" w:eastAsia="Arial" w:hAnsiTheme="minorHAnsi" w:cs="Arial"/>
          <w:i/>
          <w:iCs/>
          <w:color w:val="385623" w:themeColor="accent6" w:themeShade="80"/>
          <w:sz w:val="20"/>
          <w:szCs w:val="20"/>
        </w:rPr>
        <w:t>www.cistadoprava.cz (CDV, MD)</w:t>
      </w:r>
    </w:p>
    <w:p w14:paraId="2DDBEF8A" w14:textId="77777777" w:rsidR="003A7DBF" w:rsidRPr="00B07D79" w:rsidRDefault="003A7DBF" w:rsidP="00B07D79">
      <w:pPr>
        <w:spacing w:line="276" w:lineRule="auto"/>
        <w:jc w:val="both"/>
        <w:rPr>
          <w:rFonts w:asciiTheme="minorHAnsi" w:eastAsia="Arial" w:hAnsiTheme="minorHAnsi" w:cs="Arial"/>
          <w:i/>
          <w:iCs/>
          <w:sz w:val="20"/>
          <w:szCs w:val="20"/>
        </w:rPr>
      </w:pPr>
    </w:p>
    <w:p w14:paraId="0DFEE7E2" w14:textId="756CD413" w:rsidR="003A7DBF" w:rsidRPr="000E5B59"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Celkem 1</w:t>
      </w:r>
      <w:r w:rsidR="00DF46AB" w:rsidRPr="00B07D79">
        <w:rPr>
          <w:rFonts w:asciiTheme="minorHAnsi" w:eastAsia="Arial" w:hAnsiTheme="minorHAnsi" w:cs="Arial"/>
          <w:szCs w:val="22"/>
        </w:rPr>
        <w:t>6</w:t>
      </w:r>
      <w:r w:rsidRPr="00B07D79">
        <w:rPr>
          <w:rFonts w:asciiTheme="minorHAnsi" w:eastAsia="Arial" w:hAnsiTheme="minorHAnsi" w:cs="Arial"/>
          <w:szCs w:val="22"/>
        </w:rPr>
        <w:t>,</w:t>
      </w:r>
      <w:r w:rsidR="00DF46AB" w:rsidRPr="00B07D79">
        <w:rPr>
          <w:rFonts w:asciiTheme="minorHAnsi" w:eastAsia="Arial" w:hAnsiTheme="minorHAnsi" w:cs="Arial"/>
          <w:szCs w:val="22"/>
        </w:rPr>
        <w:t>9</w:t>
      </w:r>
      <w:r w:rsidRPr="00B07D79">
        <w:rPr>
          <w:rFonts w:asciiTheme="minorHAnsi" w:eastAsia="Arial" w:hAnsiTheme="minorHAnsi" w:cs="Arial"/>
          <w:szCs w:val="22"/>
        </w:rPr>
        <w:t xml:space="preserve"> % registrovaných BLUEV je ojetých, tzn. s</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opakovanou registrací, </w:t>
      </w:r>
      <w:r w:rsidR="00DF46AB" w:rsidRPr="00B07D79">
        <w:rPr>
          <w:rFonts w:asciiTheme="minorHAnsi" w:eastAsia="Arial" w:hAnsiTheme="minorHAnsi" w:cs="Arial"/>
          <w:szCs w:val="22"/>
        </w:rPr>
        <w:t>82</w:t>
      </w:r>
      <w:r w:rsidRPr="00B07D79">
        <w:rPr>
          <w:rFonts w:asciiTheme="minorHAnsi" w:eastAsia="Arial" w:hAnsiTheme="minorHAnsi" w:cs="Arial"/>
          <w:szCs w:val="22"/>
        </w:rPr>
        <w:t>,</w:t>
      </w:r>
      <w:r w:rsidR="00DF46AB" w:rsidRPr="00B07D79">
        <w:rPr>
          <w:rFonts w:asciiTheme="minorHAnsi" w:eastAsia="Arial" w:hAnsiTheme="minorHAnsi" w:cs="Arial"/>
          <w:szCs w:val="22"/>
        </w:rPr>
        <w:t>0</w:t>
      </w:r>
      <w:r w:rsidRPr="00B07D79">
        <w:rPr>
          <w:rFonts w:asciiTheme="minorHAnsi" w:eastAsia="Arial" w:hAnsiTheme="minorHAnsi" w:cs="Arial"/>
          <w:szCs w:val="22"/>
        </w:rPr>
        <w:t xml:space="preserve"> % registrovaných BLUEV je evidováno jako firemní, </w:t>
      </w:r>
      <w:r w:rsidR="00DF46AB" w:rsidRPr="00B07D79">
        <w:rPr>
          <w:rFonts w:asciiTheme="minorHAnsi" w:eastAsia="Arial" w:hAnsiTheme="minorHAnsi" w:cs="Arial"/>
          <w:szCs w:val="22"/>
        </w:rPr>
        <w:t>18</w:t>
      </w:r>
      <w:r w:rsidRPr="00B07D79">
        <w:rPr>
          <w:rFonts w:asciiTheme="minorHAnsi" w:eastAsia="Arial" w:hAnsiTheme="minorHAnsi" w:cs="Arial"/>
          <w:szCs w:val="22"/>
        </w:rPr>
        <w:t>,</w:t>
      </w:r>
      <w:r w:rsidR="00DF46AB" w:rsidRPr="00B07D79">
        <w:rPr>
          <w:rFonts w:asciiTheme="minorHAnsi" w:eastAsia="Arial" w:hAnsiTheme="minorHAnsi" w:cs="Arial"/>
          <w:szCs w:val="22"/>
        </w:rPr>
        <w:t>0</w:t>
      </w:r>
      <w:r w:rsidRPr="00B07D79">
        <w:rPr>
          <w:rFonts w:asciiTheme="minorHAnsi" w:eastAsia="Arial" w:hAnsiTheme="minorHAnsi" w:cs="Arial"/>
          <w:szCs w:val="22"/>
        </w:rPr>
        <w:t xml:space="preserve"> % jsou pak registrace na nepodnikající fyzické osoby. Nejvíce, 5</w:t>
      </w:r>
      <w:r w:rsidR="00DF46AB" w:rsidRPr="00B07D79">
        <w:rPr>
          <w:rFonts w:asciiTheme="minorHAnsi" w:eastAsia="Arial" w:hAnsiTheme="minorHAnsi" w:cs="Arial"/>
          <w:szCs w:val="22"/>
        </w:rPr>
        <w:t>41</w:t>
      </w:r>
      <w:r w:rsidRPr="00B07D79">
        <w:rPr>
          <w:rFonts w:asciiTheme="minorHAnsi" w:eastAsia="Arial" w:hAnsiTheme="minorHAnsi" w:cs="Arial"/>
          <w:szCs w:val="22"/>
        </w:rPr>
        <w:t xml:space="preserve"> BLUEV je registrováno v</w:t>
      </w:r>
      <w:r w:rsidR="00CF2351" w:rsidRPr="00B07D79">
        <w:rPr>
          <w:rFonts w:asciiTheme="minorHAnsi" w:eastAsia="Arial" w:hAnsiTheme="minorHAnsi" w:cs="Arial"/>
          <w:szCs w:val="22"/>
        </w:rPr>
        <w:t> </w:t>
      </w:r>
      <w:r w:rsidRPr="00B07D79">
        <w:rPr>
          <w:rFonts w:asciiTheme="minorHAnsi" w:eastAsia="Arial" w:hAnsiTheme="minorHAnsi" w:cs="Arial"/>
          <w:szCs w:val="22"/>
        </w:rPr>
        <w:t>hl. m. Praze, z</w:t>
      </w:r>
      <w:r w:rsidR="00CF2351" w:rsidRPr="00B07D79">
        <w:rPr>
          <w:rFonts w:asciiTheme="minorHAnsi" w:eastAsia="Arial" w:hAnsiTheme="minorHAnsi" w:cs="Arial"/>
          <w:szCs w:val="22"/>
        </w:rPr>
        <w:t> </w:t>
      </w:r>
      <w:r w:rsidRPr="00B07D79">
        <w:rPr>
          <w:rFonts w:asciiTheme="minorHAnsi" w:eastAsia="Arial" w:hAnsiTheme="minorHAnsi" w:cs="Arial"/>
          <w:szCs w:val="22"/>
        </w:rPr>
        <w:t>celkového počtu 1</w:t>
      </w:r>
      <w:r w:rsidR="00D435DE" w:rsidRPr="00B07D79">
        <w:rPr>
          <w:rFonts w:asciiTheme="minorHAnsi" w:eastAsia="Arial" w:hAnsiTheme="minorHAnsi" w:cs="Arial"/>
          <w:szCs w:val="22"/>
        </w:rPr>
        <w:t> </w:t>
      </w:r>
      <w:r w:rsidRPr="00B07D79">
        <w:rPr>
          <w:rFonts w:asciiTheme="minorHAnsi" w:eastAsia="Arial" w:hAnsiTheme="minorHAnsi" w:cs="Arial"/>
          <w:szCs w:val="22"/>
        </w:rPr>
        <w:t>382</w:t>
      </w:r>
      <w:r w:rsidR="00D435DE" w:rsidRPr="00B07D79">
        <w:rPr>
          <w:rFonts w:asciiTheme="minorHAnsi" w:eastAsia="Arial" w:hAnsiTheme="minorHAnsi" w:cs="Arial"/>
          <w:szCs w:val="22"/>
        </w:rPr>
        <w:t> </w:t>
      </w:r>
      <w:r w:rsidRPr="00B07D79">
        <w:rPr>
          <w:rFonts w:asciiTheme="minorHAnsi" w:eastAsia="Arial" w:hAnsiTheme="minorHAnsi" w:cs="Arial"/>
          <w:szCs w:val="22"/>
        </w:rPr>
        <w:t>BLUEV se tak jedná o</w:t>
      </w:r>
      <w:r w:rsidR="00CF2351" w:rsidRPr="00B07D79">
        <w:rPr>
          <w:rFonts w:asciiTheme="minorHAnsi" w:eastAsia="Arial" w:hAnsiTheme="minorHAnsi" w:cs="Arial"/>
          <w:szCs w:val="22"/>
        </w:rPr>
        <w:t> </w:t>
      </w:r>
      <w:r w:rsidR="00CF63B9" w:rsidRPr="00B07D79">
        <w:rPr>
          <w:rFonts w:asciiTheme="minorHAnsi" w:eastAsia="Arial" w:hAnsiTheme="minorHAnsi" w:cs="Arial"/>
          <w:szCs w:val="22"/>
        </w:rPr>
        <w:t>39,1</w:t>
      </w:r>
      <w:r w:rsidRPr="00B07D79">
        <w:rPr>
          <w:rFonts w:asciiTheme="minorHAnsi" w:eastAsia="Arial" w:hAnsiTheme="minorHAnsi" w:cs="Arial"/>
          <w:szCs w:val="22"/>
        </w:rPr>
        <w:t xml:space="preserve"> %. Dalšími kraji s</w:t>
      </w:r>
      <w:r w:rsidR="00CF2351" w:rsidRPr="00B07D79">
        <w:rPr>
          <w:rFonts w:asciiTheme="minorHAnsi" w:eastAsia="Arial" w:hAnsiTheme="minorHAnsi" w:cs="Arial"/>
          <w:szCs w:val="22"/>
        </w:rPr>
        <w:t> </w:t>
      </w:r>
      <w:r w:rsidRPr="00B07D79">
        <w:rPr>
          <w:rFonts w:asciiTheme="minorHAnsi" w:eastAsia="Arial" w:hAnsiTheme="minorHAnsi" w:cs="Arial"/>
          <w:szCs w:val="22"/>
        </w:rPr>
        <w:t>nejvyšším počtem BLUEV jsou Středočeský a</w:t>
      </w:r>
      <w:r w:rsidR="00CF2351" w:rsidRPr="00B07D79">
        <w:rPr>
          <w:rFonts w:asciiTheme="minorHAnsi" w:eastAsia="Arial" w:hAnsiTheme="minorHAnsi" w:cs="Arial"/>
          <w:szCs w:val="22"/>
        </w:rPr>
        <w:t> </w:t>
      </w:r>
      <w:r w:rsidRPr="00B07D79">
        <w:rPr>
          <w:rFonts w:asciiTheme="minorHAnsi" w:eastAsia="Arial" w:hAnsiTheme="minorHAnsi" w:cs="Arial"/>
          <w:szCs w:val="22"/>
        </w:rPr>
        <w:t>Jihomoravský kraj.</w:t>
      </w:r>
    </w:p>
    <w:p w14:paraId="4599B71D" w14:textId="77777777"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t>Nákladní vozidla</w:t>
      </w:r>
    </w:p>
    <w:p w14:paraId="62DD6D70" w14:textId="7D3BAD1B" w:rsidR="003A7DBF" w:rsidRPr="000E5B59"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 xml:space="preserve">V </w:t>
      </w:r>
      <w:r w:rsidR="00292BD6" w:rsidRPr="00B07D79">
        <w:rPr>
          <w:rFonts w:asciiTheme="minorHAnsi" w:eastAsia="Arial" w:hAnsiTheme="minorHAnsi" w:cs="Arial"/>
          <w:szCs w:val="22"/>
        </w:rPr>
        <w:t>ČR</w:t>
      </w:r>
      <w:r w:rsidRPr="00B07D79">
        <w:rPr>
          <w:rFonts w:asciiTheme="minorHAnsi" w:eastAsia="Arial" w:hAnsiTheme="minorHAnsi" w:cs="Arial"/>
          <w:szCs w:val="22"/>
        </w:rPr>
        <w:t xml:space="preserve"> bylo registrováno pouze 23 nákladních BEV, 19 kategorie N3 a</w:t>
      </w:r>
      <w:r w:rsidR="00CF2351" w:rsidRPr="00B07D79">
        <w:rPr>
          <w:rFonts w:asciiTheme="minorHAnsi" w:eastAsia="Arial" w:hAnsiTheme="minorHAnsi" w:cs="Arial"/>
          <w:szCs w:val="22"/>
        </w:rPr>
        <w:t> </w:t>
      </w:r>
      <w:r w:rsidRPr="00B07D79">
        <w:rPr>
          <w:rFonts w:asciiTheme="minorHAnsi" w:eastAsia="Arial" w:hAnsiTheme="minorHAnsi" w:cs="Arial"/>
          <w:szCs w:val="22"/>
        </w:rPr>
        <w:t>4 kategorie</w:t>
      </w:r>
      <w:r w:rsidR="00346DDE" w:rsidRPr="00B07D79">
        <w:rPr>
          <w:rFonts w:asciiTheme="minorHAnsi" w:eastAsia="Arial" w:hAnsiTheme="minorHAnsi" w:cs="Arial"/>
          <w:szCs w:val="22"/>
        </w:rPr>
        <w:t> </w:t>
      </w:r>
      <w:r w:rsidRPr="00B07D79">
        <w:rPr>
          <w:rFonts w:asciiTheme="minorHAnsi" w:eastAsia="Arial" w:hAnsiTheme="minorHAnsi" w:cs="Arial"/>
          <w:szCs w:val="22"/>
        </w:rPr>
        <w:t>N2.</w:t>
      </w:r>
    </w:p>
    <w:p w14:paraId="76F9BECD" w14:textId="77777777" w:rsidR="004A18F5" w:rsidRDefault="004A18F5" w:rsidP="00B07D79">
      <w:pPr>
        <w:spacing w:line="276" w:lineRule="auto"/>
        <w:jc w:val="both"/>
        <w:rPr>
          <w:rFonts w:asciiTheme="minorHAnsi" w:eastAsia="Arial" w:hAnsiTheme="minorHAnsi"/>
          <w:color w:val="385623" w:themeColor="accent6" w:themeShade="80"/>
          <w:sz w:val="24"/>
          <w:szCs w:val="28"/>
        </w:rPr>
      </w:pPr>
    </w:p>
    <w:p w14:paraId="0427EB03" w14:textId="77777777" w:rsidR="004A18F5" w:rsidRDefault="004A18F5" w:rsidP="00B07D79">
      <w:pPr>
        <w:spacing w:line="276" w:lineRule="auto"/>
        <w:jc w:val="both"/>
        <w:rPr>
          <w:rFonts w:asciiTheme="minorHAnsi" w:eastAsia="Arial" w:hAnsiTheme="minorHAnsi"/>
          <w:color w:val="385623" w:themeColor="accent6" w:themeShade="80"/>
          <w:sz w:val="24"/>
          <w:szCs w:val="28"/>
        </w:rPr>
      </w:pPr>
    </w:p>
    <w:p w14:paraId="262AE939" w14:textId="6619BB00" w:rsidR="00E26E3A" w:rsidRPr="009D0E24" w:rsidRDefault="00E26E3A" w:rsidP="00B07D79">
      <w:pPr>
        <w:spacing w:line="276" w:lineRule="auto"/>
        <w:jc w:val="both"/>
        <w:rPr>
          <w:rFonts w:asciiTheme="minorHAnsi" w:eastAsia="Arial" w:hAnsiTheme="minorHAnsi"/>
          <w:color w:val="385623" w:themeColor="accent6" w:themeShade="80"/>
          <w:sz w:val="24"/>
          <w:szCs w:val="28"/>
        </w:rPr>
      </w:pPr>
      <w:r w:rsidRPr="009D0E24">
        <w:rPr>
          <w:rFonts w:asciiTheme="minorHAnsi" w:eastAsia="Arial" w:hAnsiTheme="minorHAnsi"/>
          <w:color w:val="385623" w:themeColor="accent6" w:themeShade="80"/>
          <w:sz w:val="24"/>
          <w:szCs w:val="28"/>
        </w:rPr>
        <w:lastRenderedPageBreak/>
        <w:t xml:space="preserve">Autobusy </w:t>
      </w:r>
    </w:p>
    <w:p w14:paraId="226FFDAE" w14:textId="13319D08" w:rsidR="003A7DBF" w:rsidRPr="000E5B59" w:rsidRDefault="00E26E3A"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Elektrobusy se na celkovém vozidlovém parku autobusů podílely 0,7 %. Vývoj počtu elektrobusů je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uvedeného obrázku. Z</w:t>
      </w:r>
      <w:r w:rsidR="00CF2351" w:rsidRPr="00B07D79">
        <w:rPr>
          <w:rFonts w:asciiTheme="minorHAnsi" w:eastAsia="Arial" w:hAnsiTheme="minorHAnsi" w:cs="Arial"/>
          <w:szCs w:val="22"/>
        </w:rPr>
        <w:t> </w:t>
      </w:r>
      <w:r w:rsidRPr="00B07D79">
        <w:rPr>
          <w:rFonts w:asciiTheme="minorHAnsi" w:eastAsia="Arial" w:hAnsiTheme="minorHAnsi" w:cs="Arial"/>
          <w:szCs w:val="22"/>
        </w:rPr>
        <w:t>celkového počtu 153 elektrobusů jich 10 bylo registrováno v</w:t>
      </w:r>
      <w:r w:rsidR="00CF2351" w:rsidRPr="00B07D79">
        <w:rPr>
          <w:rFonts w:asciiTheme="minorHAnsi" w:eastAsia="Arial" w:hAnsiTheme="minorHAnsi" w:cs="Arial"/>
          <w:szCs w:val="22"/>
        </w:rPr>
        <w:t> </w:t>
      </w:r>
      <w:r w:rsidRPr="00B07D79">
        <w:rPr>
          <w:rFonts w:asciiTheme="minorHAnsi" w:eastAsia="Arial" w:hAnsiTheme="minorHAnsi" w:cs="Arial"/>
          <w:szCs w:val="22"/>
        </w:rPr>
        <w:t>roce 2023, tj. 6,5 %.</w:t>
      </w:r>
    </w:p>
    <w:p w14:paraId="4A350223" w14:textId="7161F6CC" w:rsidR="00405A76" w:rsidRPr="000E5B59" w:rsidRDefault="00E26E3A" w:rsidP="00B07D79">
      <w:pPr>
        <w:pStyle w:val="Titulek"/>
        <w:keepNext/>
        <w:spacing w:line="276" w:lineRule="auto"/>
        <w:jc w:val="both"/>
        <w:rPr>
          <w:rFonts w:asciiTheme="minorHAnsi" w:hAnsiTheme="minorHAnsi"/>
          <w:b w:val="0"/>
          <w:bCs w:val="0"/>
          <w:noProof/>
          <w:color w:val="385623" w:themeColor="accent6" w:themeShade="80"/>
        </w:rPr>
      </w:pPr>
      <w:r w:rsidRPr="000E5B59">
        <w:rPr>
          <w:rFonts w:asciiTheme="minorHAnsi" w:hAnsiTheme="minorHAnsi"/>
          <w:b w:val="0"/>
          <w:bCs w:val="0"/>
          <w:color w:val="385623" w:themeColor="accent6" w:themeShade="80"/>
        </w:rPr>
        <w:t>Obráz</w:t>
      </w:r>
      <w:r w:rsidR="000E5B59" w:rsidRPr="000E5B59">
        <w:rPr>
          <w:rFonts w:asciiTheme="minorHAnsi" w:hAnsiTheme="minorHAnsi"/>
          <w:b w:val="0"/>
          <w:bCs w:val="0"/>
          <w:color w:val="385623" w:themeColor="accent6" w:themeShade="80"/>
        </w:rPr>
        <w:t>e</w:t>
      </w:r>
      <w:r w:rsidRPr="000E5B59">
        <w:rPr>
          <w:rFonts w:asciiTheme="minorHAnsi" w:hAnsiTheme="minorHAnsi"/>
          <w:b w:val="0"/>
          <w:bCs w:val="0"/>
          <w:color w:val="385623" w:themeColor="accent6" w:themeShade="80"/>
        </w:rPr>
        <w:t xml:space="preserve">k </w:t>
      </w:r>
      <w:r w:rsidR="003A7DBF" w:rsidRPr="000E5B59">
        <w:rPr>
          <w:rFonts w:asciiTheme="minorHAnsi" w:hAnsiTheme="minorHAnsi"/>
          <w:b w:val="0"/>
          <w:bCs w:val="0"/>
          <w:color w:val="385623" w:themeColor="accent6" w:themeShade="80"/>
        </w:rPr>
        <w:t>19</w:t>
      </w:r>
      <w:r w:rsidRPr="000E5B59">
        <w:rPr>
          <w:rFonts w:asciiTheme="minorHAnsi" w:hAnsiTheme="minorHAnsi"/>
          <w:b w:val="0"/>
          <w:bCs w:val="0"/>
          <w:color w:val="385623" w:themeColor="accent6" w:themeShade="80"/>
        </w:rPr>
        <w:t xml:space="preserve"> Vývoj registrací </w:t>
      </w:r>
      <w:r w:rsidR="00DC2DD6" w:rsidRPr="000E5B59">
        <w:rPr>
          <w:rFonts w:asciiTheme="minorHAnsi" w:hAnsiTheme="minorHAnsi"/>
          <w:b w:val="0"/>
          <w:bCs w:val="0"/>
          <w:color w:val="385623" w:themeColor="accent6" w:themeShade="80"/>
        </w:rPr>
        <w:t xml:space="preserve">elektrobusů </w:t>
      </w:r>
      <w:r w:rsidRPr="000E5B59">
        <w:rPr>
          <w:rFonts w:asciiTheme="minorHAnsi" w:hAnsiTheme="minorHAnsi"/>
          <w:b w:val="0"/>
          <w:bCs w:val="0"/>
          <w:color w:val="385623" w:themeColor="accent6" w:themeShade="80"/>
        </w:rPr>
        <w:t>dle typu paliva a</w:t>
      </w:r>
      <w:r w:rsidR="00CF2351" w:rsidRPr="000E5B59">
        <w:rPr>
          <w:rFonts w:asciiTheme="minorHAnsi" w:hAnsiTheme="minorHAnsi"/>
          <w:b w:val="0"/>
          <w:bCs w:val="0"/>
          <w:color w:val="385623" w:themeColor="accent6" w:themeShade="80"/>
        </w:rPr>
        <w:t> </w:t>
      </w:r>
      <w:r w:rsidRPr="000E5B59">
        <w:rPr>
          <w:rFonts w:asciiTheme="minorHAnsi" w:hAnsiTheme="minorHAnsi"/>
          <w:b w:val="0"/>
          <w:bCs w:val="0"/>
          <w:color w:val="385623" w:themeColor="accent6" w:themeShade="80"/>
        </w:rPr>
        <w:t>roku poslední registrace</w:t>
      </w:r>
      <w:r w:rsidR="00DC2DD6" w:rsidRPr="000E5B59">
        <w:rPr>
          <w:rFonts w:asciiTheme="minorHAnsi" w:hAnsiTheme="minorHAnsi"/>
          <w:b w:val="0"/>
          <w:bCs w:val="0"/>
          <w:noProof/>
          <w:color w:val="385623" w:themeColor="accent6" w:themeShade="80"/>
        </w:rPr>
        <w:t xml:space="preserve"> </w:t>
      </w:r>
    </w:p>
    <w:p w14:paraId="49E1711C" w14:textId="1FB6FDD8" w:rsidR="00E26E3A" w:rsidRPr="00B07D79" w:rsidRDefault="00DC2DD6" w:rsidP="00B07D79">
      <w:pPr>
        <w:pStyle w:val="Titulek"/>
        <w:keepNext/>
        <w:spacing w:line="276" w:lineRule="auto"/>
        <w:jc w:val="both"/>
        <w:rPr>
          <w:rFonts w:asciiTheme="minorHAnsi" w:hAnsiTheme="minorHAnsi"/>
          <w:b w:val="0"/>
          <w:bCs w:val="0"/>
        </w:rPr>
      </w:pPr>
      <w:r w:rsidRPr="00B07D79">
        <w:rPr>
          <w:rFonts w:asciiTheme="minorHAnsi" w:hAnsiTheme="minorHAnsi"/>
          <w:b w:val="0"/>
          <w:bCs w:val="0"/>
          <w:noProof/>
        </w:rPr>
        <w:drawing>
          <wp:inline distT="0" distB="0" distL="0" distR="0" wp14:anchorId="10C49D45" wp14:editId="756B7DF1">
            <wp:extent cx="5760720" cy="1867535"/>
            <wp:effectExtent l="0" t="0" r="0" b="0"/>
            <wp:docPr id="662985124" name="Obrázek 1" descr="Obsah obrázku diagram, text, snímek obrazovky,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85124" name="Obrázek 1" descr="Obsah obrázku diagram, text, snímek obrazovky, řada/pruh&#10;&#10;Popis byl vytvořen automaticky"/>
                    <pic:cNvPicPr/>
                  </pic:nvPicPr>
                  <pic:blipFill>
                    <a:blip r:embed="rId49"/>
                    <a:stretch>
                      <a:fillRect/>
                    </a:stretch>
                  </pic:blipFill>
                  <pic:spPr>
                    <a:xfrm>
                      <a:off x="0" y="0"/>
                      <a:ext cx="5760720" cy="1867535"/>
                    </a:xfrm>
                    <a:prstGeom prst="rect">
                      <a:avLst/>
                    </a:prstGeom>
                  </pic:spPr>
                </pic:pic>
              </a:graphicData>
            </a:graphic>
          </wp:inline>
        </w:drawing>
      </w:r>
    </w:p>
    <w:p w14:paraId="7EEF5853" w14:textId="717B13DC" w:rsidR="004A1269" w:rsidRPr="000E5B59" w:rsidRDefault="004A1269" w:rsidP="000E5B59">
      <w:pPr>
        <w:spacing w:line="276" w:lineRule="auto"/>
        <w:jc w:val="right"/>
        <w:rPr>
          <w:rFonts w:asciiTheme="minorHAnsi" w:hAnsiTheme="minorHAnsi"/>
          <w:i/>
          <w:iCs/>
          <w:color w:val="385623" w:themeColor="accent6" w:themeShade="80"/>
        </w:rPr>
      </w:pPr>
      <w:r w:rsidRPr="000E5B59">
        <w:rPr>
          <w:rFonts w:asciiTheme="minorHAnsi" w:hAnsiTheme="minorHAnsi"/>
          <w:i/>
          <w:iCs/>
          <w:color w:val="385623" w:themeColor="accent6" w:themeShade="80"/>
        </w:rPr>
        <w:t xml:space="preserve">Zdroj: </w:t>
      </w:r>
      <w:r w:rsidRPr="000E5B59">
        <w:rPr>
          <w:rFonts w:asciiTheme="minorHAnsi" w:eastAsia="Arial" w:hAnsiTheme="minorHAnsi" w:cs="Arial"/>
          <w:i/>
          <w:iCs/>
          <w:color w:val="385623" w:themeColor="accent6" w:themeShade="80"/>
          <w:sz w:val="20"/>
          <w:szCs w:val="20"/>
        </w:rPr>
        <w:t>www.cistadoprava.cz (CDV, MD)</w:t>
      </w:r>
    </w:p>
    <w:p w14:paraId="68BD08E6" w14:textId="45A8B2FF" w:rsidR="00E26E3A" w:rsidRPr="00B07D79" w:rsidRDefault="00E26E3A" w:rsidP="00B07D79">
      <w:pPr>
        <w:spacing w:line="276" w:lineRule="auto"/>
        <w:jc w:val="both"/>
        <w:rPr>
          <w:rFonts w:asciiTheme="minorHAnsi" w:hAnsiTheme="minorHAnsi"/>
        </w:rPr>
      </w:pPr>
      <w:r w:rsidRPr="00B07D79">
        <w:rPr>
          <w:rFonts w:asciiTheme="minorHAnsi" w:eastAsia="Arial" w:hAnsiTheme="minorHAnsi" w:cs="Arial"/>
          <w:szCs w:val="22"/>
        </w:rPr>
        <w:t xml:space="preserve">Nejvíce, </w:t>
      </w:r>
      <w:r w:rsidR="00CF63B9" w:rsidRPr="00B07D79">
        <w:rPr>
          <w:rFonts w:asciiTheme="minorHAnsi" w:eastAsia="Arial" w:hAnsiTheme="minorHAnsi" w:cs="Arial"/>
          <w:szCs w:val="22"/>
        </w:rPr>
        <w:t>57</w:t>
      </w:r>
      <w:r w:rsidRPr="00B07D79">
        <w:rPr>
          <w:rFonts w:asciiTheme="minorHAnsi" w:eastAsia="Arial" w:hAnsiTheme="minorHAnsi" w:cs="Arial"/>
          <w:szCs w:val="22"/>
        </w:rPr>
        <w:t xml:space="preserve"> elektrobusů je registrováno v</w:t>
      </w:r>
      <w:r w:rsidR="00CF2351" w:rsidRPr="00B07D79">
        <w:rPr>
          <w:rFonts w:asciiTheme="minorHAnsi" w:eastAsia="Arial" w:hAnsiTheme="minorHAnsi" w:cs="Arial"/>
          <w:szCs w:val="22"/>
        </w:rPr>
        <w:t> </w:t>
      </w:r>
      <w:r w:rsidRPr="00B07D79">
        <w:rPr>
          <w:rFonts w:asciiTheme="minorHAnsi" w:eastAsia="Arial" w:hAnsiTheme="minorHAnsi" w:cs="Arial"/>
          <w:szCs w:val="22"/>
        </w:rPr>
        <w:t>Moravskoslezském kraji, z</w:t>
      </w:r>
      <w:r w:rsidR="00CF2351" w:rsidRPr="00B07D79">
        <w:rPr>
          <w:rFonts w:asciiTheme="minorHAnsi" w:eastAsia="Arial" w:hAnsiTheme="minorHAnsi" w:cs="Arial"/>
          <w:szCs w:val="22"/>
        </w:rPr>
        <w:t> </w:t>
      </w:r>
      <w:r w:rsidRPr="00B07D79">
        <w:rPr>
          <w:rFonts w:asciiTheme="minorHAnsi" w:eastAsia="Arial" w:hAnsiTheme="minorHAnsi" w:cs="Arial"/>
          <w:szCs w:val="22"/>
        </w:rPr>
        <w:t>celkového počtu 153 elektrobusů se tak jedná o</w:t>
      </w:r>
      <w:r w:rsidR="00CF2351" w:rsidRPr="00B07D79">
        <w:rPr>
          <w:rFonts w:asciiTheme="minorHAnsi" w:eastAsia="Arial" w:hAnsiTheme="minorHAnsi" w:cs="Arial"/>
          <w:szCs w:val="22"/>
        </w:rPr>
        <w:t> </w:t>
      </w:r>
      <w:r w:rsidR="00CF63B9" w:rsidRPr="00B07D79">
        <w:rPr>
          <w:rFonts w:asciiTheme="minorHAnsi" w:eastAsia="Arial" w:hAnsiTheme="minorHAnsi" w:cs="Arial"/>
          <w:szCs w:val="22"/>
        </w:rPr>
        <w:t>39,4</w:t>
      </w:r>
      <w:r w:rsidRPr="00B07D79">
        <w:rPr>
          <w:rFonts w:asciiTheme="minorHAnsi" w:eastAsia="Arial" w:hAnsiTheme="minorHAnsi" w:cs="Arial"/>
          <w:szCs w:val="22"/>
        </w:rPr>
        <w:t xml:space="preserve"> %. Dalšími kraji s</w:t>
      </w:r>
      <w:r w:rsidR="00CF2351" w:rsidRPr="00B07D79">
        <w:rPr>
          <w:rFonts w:asciiTheme="minorHAnsi" w:eastAsia="Arial" w:hAnsiTheme="minorHAnsi" w:cs="Arial"/>
          <w:szCs w:val="22"/>
        </w:rPr>
        <w:t> </w:t>
      </w:r>
      <w:r w:rsidRPr="00B07D79">
        <w:rPr>
          <w:rFonts w:asciiTheme="minorHAnsi" w:eastAsia="Arial" w:hAnsiTheme="minorHAnsi" w:cs="Arial"/>
          <w:szCs w:val="22"/>
        </w:rPr>
        <w:t>nejvyšším počtem elektrobusů jsou Královéhradecký kraj (24) a</w:t>
      </w:r>
      <w:r w:rsidR="00CF2351" w:rsidRPr="00B07D79">
        <w:rPr>
          <w:rFonts w:asciiTheme="minorHAnsi" w:eastAsia="Arial" w:hAnsiTheme="minorHAnsi" w:cs="Arial"/>
          <w:szCs w:val="22"/>
        </w:rPr>
        <w:t> </w:t>
      </w:r>
      <w:r w:rsidRPr="00B07D79">
        <w:rPr>
          <w:rFonts w:asciiTheme="minorHAnsi" w:eastAsia="Arial" w:hAnsiTheme="minorHAnsi" w:cs="Arial"/>
          <w:szCs w:val="22"/>
        </w:rPr>
        <w:t>hl. m. Praha (20).</w:t>
      </w:r>
    </w:p>
    <w:p w14:paraId="6625B163" w14:textId="77777777" w:rsidR="00E46C57" w:rsidRPr="00B07D79" w:rsidRDefault="00E46C57" w:rsidP="00B07D79">
      <w:pPr>
        <w:spacing w:line="276" w:lineRule="auto"/>
        <w:jc w:val="both"/>
        <w:rPr>
          <w:rFonts w:asciiTheme="minorHAnsi" w:hAnsiTheme="minorHAnsi" w:cs="Arial"/>
          <w:iCs/>
          <w:sz w:val="24"/>
          <w:szCs w:val="28"/>
        </w:rPr>
      </w:pPr>
      <w:bookmarkStart w:id="234" w:name="_Toc159332167"/>
      <w:bookmarkStart w:id="235" w:name="_Toc159336648"/>
      <w:bookmarkStart w:id="236" w:name="_Toc160021751"/>
      <w:bookmarkStart w:id="237" w:name="_Toc162447441"/>
      <w:bookmarkStart w:id="238" w:name="_Toc152329812"/>
      <w:bookmarkStart w:id="239" w:name="_Toc153208223"/>
      <w:bookmarkStart w:id="240" w:name="_Toc159264318"/>
      <w:r w:rsidRPr="00B07D79">
        <w:rPr>
          <w:rFonts w:asciiTheme="minorHAnsi" w:hAnsiTheme="minorHAnsi"/>
        </w:rPr>
        <w:br w:type="page"/>
      </w:r>
    </w:p>
    <w:p w14:paraId="28923A1F" w14:textId="1DBE4DEB" w:rsidR="00BC0572" w:rsidRPr="00B07D79" w:rsidRDefault="00BC0572" w:rsidP="000E5B59">
      <w:pPr>
        <w:pStyle w:val="Nadpis1"/>
      </w:pPr>
      <w:bookmarkStart w:id="241" w:name="_Toc173240076"/>
      <w:r w:rsidRPr="00B07D79">
        <w:lastRenderedPageBreak/>
        <w:t>Vyhodnocení dosavadního vývoje v</w:t>
      </w:r>
      <w:r w:rsidR="00CF2351" w:rsidRPr="00B07D79">
        <w:t> </w:t>
      </w:r>
      <w:r w:rsidRPr="00B07D79">
        <w:t>oblasti infrastruktury</w:t>
      </w:r>
      <w:bookmarkEnd w:id="234"/>
      <w:bookmarkEnd w:id="235"/>
      <w:bookmarkEnd w:id="236"/>
      <w:bookmarkEnd w:id="237"/>
      <w:bookmarkEnd w:id="241"/>
    </w:p>
    <w:p w14:paraId="5F319BA0" w14:textId="77777777" w:rsidR="000E5B59" w:rsidRPr="000E5B59" w:rsidRDefault="000E5B59" w:rsidP="000E5B59">
      <w:pPr>
        <w:pStyle w:val="Odstavecseseznamem"/>
        <w:keepNext/>
        <w:numPr>
          <w:ilvl w:val="0"/>
          <w:numId w:val="154"/>
        </w:numPr>
        <w:spacing w:before="240" w:after="240"/>
        <w:contextualSpacing w:val="0"/>
        <w:outlineLvl w:val="1"/>
        <w:rPr>
          <w:rFonts w:asciiTheme="minorHAnsi" w:hAnsiTheme="minorHAnsi" w:cs="Arial"/>
          <w:vanish/>
          <w:color w:val="538135" w:themeColor="accent6" w:themeShade="BF"/>
          <w:sz w:val="28"/>
          <w:szCs w:val="32"/>
        </w:rPr>
      </w:pPr>
      <w:bookmarkStart w:id="242" w:name="_Toc159332168"/>
      <w:bookmarkStart w:id="243" w:name="_Toc159336649"/>
      <w:bookmarkStart w:id="244" w:name="_Toc160021752"/>
      <w:bookmarkStart w:id="245" w:name="_Toc162447442"/>
      <w:bookmarkStart w:id="246" w:name="_Toc173240077"/>
    </w:p>
    <w:p w14:paraId="71F1C8D5" w14:textId="4CF49CD6" w:rsidR="00BC0572" w:rsidRPr="005E2F84" w:rsidRDefault="00B81129" w:rsidP="000E5B59">
      <w:pPr>
        <w:pStyle w:val="Nadpis2"/>
        <w:rPr>
          <w:rFonts w:eastAsia="Arial"/>
          <w:sz w:val="32"/>
          <w:szCs w:val="36"/>
        </w:rPr>
      </w:pPr>
      <w:r w:rsidRPr="005E2F84">
        <w:rPr>
          <w:sz w:val="32"/>
          <w:szCs w:val="36"/>
        </w:rPr>
        <w:t xml:space="preserve">Dobíjecí </w:t>
      </w:r>
      <w:r w:rsidR="001427BA" w:rsidRPr="005E2F84">
        <w:rPr>
          <w:sz w:val="32"/>
          <w:szCs w:val="36"/>
        </w:rPr>
        <w:t>stanice – evropský</w:t>
      </w:r>
      <w:r w:rsidR="00BC0572" w:rsidRPr="005E2F84">
        <w:rPr>
          <w:sz w:val="32"/>
          <w:szCs w:val="36"/>
        </w:rPr>
        <w:t xml:space="preserve"> kontext</w:t>
      </w:r>
      <w:bookmarkEnd w:id="242"/>
      <w:bookmarkEnd w:id="243"/>
      <w:bookmarkEnd w:id="244"/>
      <w:bookmarkEnd w:id="245"/>
      <w:bookmarkEnd w:id="246"/>
    </w:p>
    <w:p w14:paraId="20801D91" w14:textId="206B6644" w:rsidR="003A7DBF" w:rsidRPr="005E2F84" w:rsidRDefault="00BC0572"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Data v</w:t>
      </w:r>
      <w:r w:rsidR="00CF2351" w:rsidRPr="00B07D79">
        <w:rPr>
          <w:rFonts w:asciiTheme="minorHAnsi" w:eastAsia="Arial" w:hAnsiTheme="minorHAnsi" w:cs="Arial"/>
          <w:szCs w:val="22"/>
        </w:rPr>
        <w:t> </w:t>
      </w:r>
      <w:r w:rsidRPr="00B07D79">
        <w:rPr>
          <w:rFonts w:asciiTheme="minorHAnsi" w:eastAsia="Arial" w:hAnsiTheme="minorHAnsi" w:cs="Arial"/>
          <w:szCs w:val="22"/>
        </w:rPr>
        <w:t>této kapitole k</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veřejným dobíjecím bodům vycházejí ze </w:t>
      </w:r>
      <w:r w:rsidRPr="00B07D79">
        <w:rPr>
          <w:rFonts w:asciiTheme="minorHAnsi" w:eastAsia="Arial" w:hAnsiTheme="minorHAnsi" w:cs="Arial"/>
          <w:i/>
          <w:iCs/>
          <w:szCs w:val="22"/>
        </w:rPr>
        <w:t>zdrojových dat</w:t>
      </w:r>
      <w:r w:rsidRPr="00B07D79">
        <w:rPr>
          <w:rFonts w:asciiTheme="minorHAnsi" w:eastAsia="Arial" w:hAnsiTheme="minorHAnsi" w:cs="Arial"/>
          <w:i/>
          <w:iCs/>
          <w:szCs w:val="22"/>
          <w:lang w:val="en-GB"/>
        </w:rPr>
        <w:t xml:space="preserve"> </w:t>
      </w:r>
      <w:r w:rsidRPr="00B07D79">
        <w:rPr>
          <w:rFonts w:asciiTheme="minorHAnsi" w:eastAsia="Arial" w:hAnsiTheme="minorHAnsi"/>
          <w:i/>
          <w:lang w:val="en-GB"/>
        </w:rPr>
        <w:t>The European Alternative Fuels Observatory</w:t>
      </w:r>
      <w:r w:rsidRPr="00B07D79">
        <w:rPr>
          <w:rFonts w:asciiTheme="minorHAnsi" w:eastAsia="Arial" w:hAnsiTheme="minorHAnsi" w:cs="Arial"/>
          <w:i/>
          <w:iCs/>
          <w:szCs w:val="22"/>
        </w:rPr>
        <w:t xml:space="preserve"> (EAFO).</w:t>
      </w:r>
      <w:r w:rsidRPr="00B07D79">
        <w:rPr>
          <w:rFonts w:asciiTheme="minorHAnsi" w:eastAsia="Arial" w:hAnsiTheme="minorHAnsi" w:cs="Arial"/>
          <w:szCs w:val="22"/>
        </w:rPr>
        <w:t xml:space="preserve"> V</w:t>
      </w:r>
      <w:r w:rsidR="00CF2351" w:rsidRPr="00B07D79">
        <w:rPr>
          <w:rFonts w:asciiTheme="minorHAnsi" w:eastAsia="Arial" w:hAnsiTheme="minorHAnsi" w:cs="Arial"/>
          <w:szCs w:val="22"/>
        </w:rPr>
        <w:t> </w:t>
      </w:r>
      <w:r w:rsidRPr="00B07D79">
        <w:rPr>
          <w:rFonts w:asciiTheme="minorHAnsi" w:eastAsia="Arial" w:hAnsiTheme="minorHAnsi" w:cs="Arial"/>
          <w:szCs w:val="22"/>
        </w:rPr>
        <w:t>zemích EU bylo evidováno 479 505 veřejných dobíjecích bodů (89 % AC a</w:t>
      </w:r>
      <w:r w:rsidR="00CF2351" w:rsidRPr="00B07D79">
        <w:rPr>
          <w:rFonts w:asciiTheme="minorHAnsi" w:eastAsia="Arial" w:hAnsiTheme="minorHAnsi" w:cs="Arial"/>
          <w:szCs w:val="22"/>
        </w:rPr>
        <w:t> </w:t>
      </w:r>
      <w:r w:rsidRPr="00B07D79">
        <w:rPr>
          <w:rFonts w:asciiTheme="minorHAnsi" w:eastAsia="Arial" w:hAnsiTheme="minorHAnsi" w:cs="Arial"/>
          <w:szCs w:val="22"/>
        </w:rPr>
        <w:t>11 % DC), 60 % veřejných dobíjecích bodů jen ve 3 zemích EU, v</w:t>
      </w:r>
      <w:r w:rsidR="00CF2351" w:rsidRPr="00B07D79">
        <w:rPr>
          <w:rFonts w:asciiTheme="minorHAnsi" w:eastAsia="Arial" w:hAnsiTheme="minorHAnsi" w:cs="Arial"/>
          <w:szCs w:val="22"/>
        </w:rPr>
        <w:t> </w:t>
      </w:r>
      <w:r w:rsidRPr="00B07D79">
        <w:rPr>
          <w:rFonts w:asciiTheme="minorHAnsi" w:eastAsia="Arial" w:hAnsiTheme="minorHAnsi" w:cs="Arial"/>
          <w:szCs w:val="22"/>
        </w:rPr>
        <w:t>Nizozemsku 116 184, tj. 24 %, ve Francii 92 062, tj. 19 % a</w:t>
      </w:r>
      <w:r w:rsidR="00CF2351" w:rsidRPr="00B07D79">
        <w:rPr>
          <w:rFonts w:asciiTheme="minorHAnsi" w:eastAsia="Arial" w:hAnsiTheme="minorHAnsi" w:cs="Arial"/>
          <w:szCs w:val="22"/>
        </w:rPr>
        <w:t> </w:t>
      </w:r>
      <w:r w:rsidRPr="00B07D79">
        <w:rPr>
          <w:rFonts w:asciiTheme="minorHAnsi" w:eastAsia="Arial" w:hAnsiTheme="minorHAnsi" w:cs="Arial"/>
          <w:szCs w:val="22"/>
        </w:rPr>
        <w:t>v Německu 84 536, tj. 18 %.</w:t>
      </w:r>
    </w:p>
    <w:p w14:paraId="555E86AB" w14:textId="4D7920FB" w:rsidR="00BC0572" w:rsidRPr="009D0E24" w:rsidRDefault="00BC0572" w:rsidP="00B07D79">
      <w:pPr>
        <w:spacing w:line="276" w:lineRule="auto"/>
        <w:jc w:val="both"/>
        <w:rPr>
          <w:rFonts w:asciiTheme="minorHAnsi" w:hAnsiTheme="minorHAnsi"/>
          <w:color w:val="385623" w:themeColor="accent6" w:themeShade="80"/>
          <w:sz w:val="24"/>
          <w:szCs w:val="28"/>
        </w:rPr>
      </w:pPr>
      <w:r w:rsidRPr="009D0E24">
        <w:rPr>
          <w:rFonts w:asciiTheme="minorHAnsi" w:eastAsia="Arial" w:hAnsiTheme="minorHAnsi" w:cs="Arial"/>
          <w:color w:val="385623" w:themeColor="accent6" w:themeShade="80"/>
          <w:sz w:val="24"/>
        </w:rPr>
        <w:t>Srovnání počtu vozidel na 1 veřejný dobíjecí bod v</w:t>
      </w:r>
      <w:r w:rsidR="00CF2351" w:rsidRPr="009D0E24">
        <w:rPr>
          <w:rFonts w:asciiTheme="minorHAnsi" w:eastAsia="Arial" w:hAnsiTheme="minorHAnsi" w:cs="Arial"/>
          <w:color w:val="385623" w:themeColor="accent6" w:themeShade="80"/>
          <w:sz w:val="24"/>
        </w:rPr>
        <w:t> </w:t>
      </w:r>
      <w:r w:rsidRPr="009D0E24">
        <w:rPr>
          <w:rFonts w:asciiTheme="minorHAnsi" w:eastAsia="Arial" w:hAnsiTheme="minorHAnsi" w:cs="Arial"/>
          <w:color w:val="385623" w:themeColor="accent6" w:themeShade="80"/>
          <w:sz w:val="24"/>
        </w:rPr>
        <w:t>EU a</w:t>
      </w:r>
      <w:r w:rsidR="00CF2351" w:rsidRPr="009D0E24">
        <w:rPr>
          <w:rFonts w:asciiTheme="minorHAnsi" w:eastAsia="Arial" w:hAnsiTheme="minorHAnsi" w:cs="Arial"/>
          <w:color w:val="385623" w:themeColor="accent6" w:themeShade="80"/>
          <w:sz w:val="24"/>
        </w:rPr>
        <w:t> </w:t>
      </w:r>
      <w:r w:rsidRPr="009D0E24">
        <w:rPr>
          <w:rFonts w:asciiTheme="minorHAnsi" w:eastAsia="Arial" w:hAnsiTheme="minorHAnsi" w:cs="Arial"/>
          <w:color w:val="385623" w:themeColor="accent6" w:themeShade="80"/>
          <w:sz w:val="24"/>
        </w:rPr>
        <w:t>v ČR:</w:t>
      </w:r>
    </w:p>
    <w:p w14:paraId="2661287D" w14:textId="77777777" w:rsidR="00BC0572" w:rsidRPr="00B07D79" w:rsidRDefault="00BC0572" w:rsidP="00B07D79">
      <w:pPr>
        <w:pStyle w:val="Bullet1"/>
        <w:spacing w:line="276" w:lineRule="auto"/>
        <w:jc w:val="both"/>
        <w:rPr>
          <w:rFonts w:asciiTheme="minorHAnsi" w:eastAsia="Arial" w:hAnsiTheme="minorHAnsi"/>
        </w:rPr>
      </w:pPr>
      <w:r w:rsidRPr="00B07D79">
        <w:rPr>
          <w:rFonts w:asciiTheme="minorHAnsi" w:eastAsia="Arial" w:hAnsiTheme="minorHAnsi"/>
        </w:rPr>
        <w:t>V EU registrováno 3 005 193 nových osobních BEV (ACEA, období 2017-2022)</w:t>
      </w:r>
    </w:p>
    <w:p w14:paraId="785AF921" w14:textId="1E05CD7B" w:rsidR="00BC0572" w:rsidRPr="00B07D79" w:rsidRDefault="00BC0572" w:rsidP="00B07D79">
      <w:pPr>
        <w:pStyle w:val="Odstavecseseznamem"/>
        <w:numPr>
          <w:ilvl w:val="1"/>
          <w:numId w:val="23"/>
        </w:numPr>
        <w:spacing w:line="276" w:lineRule="auto"/>
        <w:ind w:left="993" w:hanging="284"/>
        <w:jc w:val="both"/>
        <w:rPr>
          <w:rFonts w:asciiTheme="minorHAnsi" w:eastAsia="Arial" w:hAnsiTheme="minorHAnsi" w:cs="Arial"/>
          <w:szCs w:val="22"/>
        </w:rPr>
      </w:pPr>
      <w:r w:rsidRPr="00B07D79">
        <w:rPr>
          <w:rFonts w:asciiTheme="minorHAnsi" w:eastAsia="Arial" w:hAnsiTheme="minorHAnsi" w:cs="Arial"/>
          <w:szCs w:val="22"/>
        </w:rPr>
        <w:t>6,3 osobních BEV na 1 veřejný dobíjecí bod v</w:t>
      </w:r>
      <w:r w:rsidR="00CF2351" w:rsidRPr="00B07D79">
        <w:rPr>
          <w:rFonts w:asciiTheme="minorHAnsi" w:eastAsia="Arial" w:hAnsiTheme="minorHAnsi" w:cs="Arial"/>
          <w:szCs w:val="22"/>
        </w:rPr>
        <w:t> </w:t>
      </w:r>
      <w:r w:rsidRPr="00B07D79">
        <w:rPr>
          <w:rFonts w:asciiTheme="minorHAnsi" w:eastAsia="Arial" w:hAnsiTheme="minorHAnsi" w:cs="Arial"/>
          <w:szCs w:val="22"/>
        </w:rPr>
        <w:t>EU</w:t>
      </w:r>
    </w:p>
    <w:p w14:paraId="55147042" w14:textId="2B415EE0" w:rsidR="00BC0572" w:rsidRPr="00B07D79" w:rsidRDefault="00BC0572" w:rsidP="00B07D79">
      <w:pPr>
        <w:spacing w:line="276" w:lineRule="auto"/>
        <w:jc w:val="both"/>
        <w:rPr>
          <w:rFonts w:asciiTheme="minorHAnsi" w:eastAsia="Arial" w:hAnsiTheme="minorHAnsi"/>
        </w:rPr>
      </w:pPr>
      <w:r w:rsidRPr="00B07D79">
        <w:rPr>
          <w:rFonts w:asciiTheme="minorHAnsi" w:eastAsia="Arial" w:hAnsiTheme="minorHAnsi"/>
        </w:rPr>
        <w:t>V ČR registrováno 11 742 nových osobních BEV (ACEA, období 2017-2022)</w:t>
      </w:r>
    </w:p>
    <w:p w14:paraId="0C2364D4" w14:textId="6201E951" w:rsidR="00BC0572" w:rsidRPr="00B07D79" w:rsidRDefault="002A1A04" w:rsidP="00B07D79">
      <w:pPr>
        <w:pStyle w:val="Odstavecseseznamem"/>
        <w:numPr>
          <w:ilvl w:val="1"/>
          <w:numId w:val="23"/>
        </w:numPr>
        <w:spacing w:line="276" w:lineRule="auto"/>
        <w:ind w:left="993" w:hanging="284"/>
        <w:jc w:val="both"/>
        <w:rPr>
          <w:rFonts w:asciiTheme="minorHAnsi" w:eastAsia="Arial" w:hAnsiTheme="minorHAnsi" w:cs="Arial"/>
          <w:szCs w:val="22"/>
        </w:rPr>
      </w:pPr>
      <w:r w:rsidRPr="00B07D79">
        <w:rPr>
          <w:rFonts w:asciiTheme="minorHAnsi" w:eastAsia="Arial" w:hAnsiTheme="minorHAnsi" w:cs="Arial"/>
          <w:szCs w:val="22"/>
        </w:rPr>
        <w:t>4</w:t>
      </w:r>
      <w:r w:rsidR="00BC0572" w:rsidRPr="00B07D79">
        <w:rPr>
          <w:rFonts w:asciiTheme="minorHAnsi" w:eastAsia="Arial" w:hAnsiTheme="minorHAnsi" w:cs="Arial"/>
          <w:szCs w:val="22"/>
        </w:rPr>
        <w:t xml:space="preserve"> osobních BEV na 1 veřejný dobíjecí bod v</w:t>
      </w:r>
      <w:r w:rsidR="00CF2351" w:rsidRPr="00B07D79">
        <w:rPr>
          <w:rFonts w:asciiTheme="minorHAnsi" w:eastAsia="Arial" w:hAnsiTheme="minorHAnsi" w:cs="Arial"/>
          <w:szCs w:val="22"/>
        </w:rPr>
        <w:t> </w:t>
      </w:r>
      <w:r w:rsidR="00BC0572" w:rsidRPr="00B07D79">
        <w:rPr>
          <w:rFonts w:asciiTheme="minorHAnsi" w:eastAsia="Arial" w:hAnsiTheme="minorHAnsi" w:cs="Arial"/>
          <w:szCs w:val="22"/>
        </w:rPr>
        <w:t>ČR</w:t>
      </w:r>
    </w:p>
    <w:p w14:paraId="44DFCC1E" w14:textId="347D5605" w:rsidR="00BC0572" w:rsidRPr="00B07D79" w:rsidRDefault="00BC0572" w:rsidP="00B07D79">
      <w:pPr>
        <w:spacing w:line="276" w:lineRule="auto"/>
        <w:jc w:val="both"/>
        <w:rPr>
          <w:rFonts w:asciiTheme="minorHAnsi" w:hAnsiTheme="minorHAnsi"/>
        </w:rPr>
      </w:pPr>
      <w:r w:rsidRPr="00B07D79">
        <w:rPr>
          <w:rFonts w:asciiTheme="minorHAnsi" w:eastAsia="Arial" w:hAnsiTheme="minorHAnsi" w:cs="Arial"/>
          <w:szCs w:val="22"/>
        </w:rPr>
        <w:t>Ze zemí V4 byl ve srovnání s</w:t>
      </w:r>
      <w:r w:rsidR="00CF2351" w:rsidRPr="00B07D79">
        <w:rPr>
          <w:rFonts w:asciiTheme="minorHAnsi" w:eastAsia="Arial" w:hAnsiTheme="minorHAnsi" w:cs="Arial"/>
          <w:szCs w:val="22"/>
        </w:rPr>
        <w:t> </w:t>
      </w:r>
      <w:r w:rsidR="00292BD6" w:rsidRPr="00B07D79">
        <w:rPr>
          <w:rFonts w:asciiTheme="minorHAnsi" w:eastAsia="Arial" w:hAnsiTheme="minorHAnsi" w:cs="Arial"/>
          <w:szCs w:val="22"/>
        </w:rPr>
        <w:t>ČR</w:t>
      </w:r>
      <w:r w:rsidRPr="00B07D79">
        <w:rPr>
          <w:rFonts w:asciiTheme="minorHAnsi" w:eastAsia="Arial" w:hAnsiTheme="minorHAnsi" w:cs="Arial"/>
          <w:szCs w:val="22"/>
        </w:rPr>
        <w:t xml:space="preserve"> evidován nižší podíl pouze na Slovensku (</w:t>
      </w:r>
      <w:r w:rsidR="002A1A04" w:rsidRPr="00B07D79">
        <w:rPr>
          <w:rFonts w:asciiTheme="minorHAnsi" w:eastAsia="Arial" w:hAnsiTheme="minorHAnsi" w:cs="Arial"/>
          <w:szCs w:val="22"/>
        </w:rPr>
        <w:t>2</w:t>
      </w:r>
      <w:r w:rsidRPr="00B07D79">
        <w:rPr>
          <w:rFonts w:asciiTheme="minorHAnsi" w:eastAsia="Arial" w:hAnsiTheme="minorHAnsi" w:cs="Arial"/>
          <w:szCs w:val="22"/>
        </w:rPr>
        <w:t>,</w:t>
      </w:r>
      <w:r w:rsidR="002A1A04" w:rsidRPr="00B07D79">
        <w:rPr>
          <w:rFonts w:asciiTheme="minorHAnsi" w:eastAsia="Arial" w:hAnsiTheme="minorHAnsi" w:cs="Arial"/>
          <w:szCs w:val="22"/>
        </w:rPr>
        <w:t>7</w:t>
      </w:r>
      <w:r w:rsidRPr="00B07D79">
        <w:rPr>
          <w:rFonts w:asciiTheme="minorHAnsi" w:eastAsia="Arial" w:hAnsiTheme="minorHAnsi" w:cs="Arial"/>
          <w:szCs w:val="22"/>
        </w:rPr>
        <w:t>), naopak vyšší v</w:t>
      </w:r>
      <w:r w:rsidR="00CF2351" w:rsidRPr="00B07D79">
        <w:rPr>
          <w:rFonts w:asciiTheme="minorHAnsi" w:eastAsia="Arial" w:hAnsiTheme="minorHAnsi" w:cs="Arial"/>
          <w:szCs w:val="22"/>
        </w:rPr>
        <w:t> </w:t>
      </w:r>
      <w:r w:rsidRPr="00B07D79">
        <w:rPr>
          <w:rFonts w:asciiTheme="minorHAnsi" w:eastAsia="Arial" w:hAnsiTheme="minorHAnsi" w:cs="Arial"/>
          <w:szCs w:val="22"/>
        </w:rPr>
        <w:t>Maďarsku (</w:t>
      </w:r>
      <w:r w:rsidR="002A1A04" w:rsidRPr="00B07D79">
        <w:rPr>
          <w:rFonts w:asciiTheme="minorHAnsi" w:eastAsia="Arial" w:hAnsiTheme="minorHAnsi" w:cs="Arial"/>
          <w:szCs w:val="22"/>
        </w:rPr>
        <w:t>6,5</w:t>
      </w:r>
      <w:r w:rsidRPr="00B07D79">
        <w:rPr>
          <w:rFonts w:asciiTheme="minorHAnsi" w:eastAsia="Arial" w:hAnsiTheme="minorHAnsi" w:cs="Arial"/>
          <w:szCs w:val="22"/>
        </w:rPr>
        <w:t>) a</w:t>
      </w:r>
      <w:r w:rsidR="00CF2351" w:rsidRPr="00B07D79">
        <w:rPr>
          <w:rFonts w:asciiTheme="minorHAnsi" w:eastAsia="Arial" w:hAnsiTheme="minorHAnsi" w:cs="Arial"/>
          <w:szCs w:val="22"/>
        </w:rPr>
        <w:t> </w:t>
      </w:r>
      <w:r w:rsidRPr="00B07D79">
        <w:rPr>
          <w:rFonts w:asciiTheme="minorHAnsi" w:eastAsia="Arial" w:hAnsiTheme="minorHAnsi" w:cs="Arial"/>
          <w:szCs w:val="22"/>
        </w:rPr>
        <w:t>v Polsku (6,</w:t>
      </w:r>
      <w:r w:rsidR="002A1A04" w:rsidRPr="00B07D79">
        <w:rPr>
          <w:rFonts w:asciiTheme="minorHAnsi" w:eastAsia="Arial" w:hAnsiTheme="minorHAnsi" w:cs="Arial"/>
          <w:szCs w:val="22"/>
        </w:rPr>
        <w:t>8</w:t>
      </w:r>
      <w:r w:rsidRPr="00B07D79">
        <w:rPr>
          <w:rFonts w:asciiTheme="minorHAnsi" w:eastAsia="Arial" w:hAnsiTheme="minorHAnsi" w:cs="Arial"/>
          <w:szCs w:val="22"/>
        </w:rPr>
        <w:t>). Nejvyšší podíly pak byly evidovány v</w:t>
      </w:r>
      <w:r w:rsidR="00CF2351" w:rsidRPr="00B07D79">
        <w:rPr>
          <w:rFonts w:asciiTheme="minorHAnsi" w:eastAsia="Arial" w:hAnsiTheme="minorHAnsi" w:cs="Arial"/>
          <w:szCs w:val="22"/>
        </w:rPr>
        <w:t> </w:t>
      </w:r>
      <w:r w:rsidR="002A1A04" w:rsidRPr="00B07D79">
        <w:rPr>
          <w:rFonts w:asciiTheme="minorHAnsi" w:eastAsia="Arial" w:hAnsiTheme="minorHAnsi" w:cs="Arial"/>
          <w:szCs w:val="22"/>
        </w:rPr>
        <w:t xml:space="preserve">Německu </w:t>
      </w:r>
      <w:r w:rsidRPr="00B07D79">
        <w:rPr>
          <w:rFonts w:asciiTheme="minorHAnsi" w:eastAsia="Arial" w:hAnsiTheme="minorHAnsi" w:cs="Arial"/>
          <w:szCs w:val="22"/>
        </w:rPr>
        <w:t>(1</w:t>
      </w:r>
      <w:r w:rsidR="002A1A04" w:rsidRPr="00B07D79">
        <w:rPr>
          <w:rFonts w:asciiTheme="minorHAnsi" w:eastAsia="Arial" w:hAnsiTheme="minorHAnsi" w:cs="Arial"/>
          <w:szCs w:val="22"/>
        </w:rPr>
        <w:t>3,9</w:t>
      </w:r>
      <w:r w:rsidRPr="00B07D79">
        <w:rPr>
          <w:rFonts w:asciiTheme="minorHAnsi" w:eastAsia="Arial" w:hAnsiTheme="minorHAnsi" w:cs="Arial"/>
          <w:szCs w:val="22"/>
        </w:rPr>
        <w:t>) a</w:t>
      </w:r>
      <w:r w:rsidR="00CF2351" w:rsidRPr="00B07D79">
        <w:rPr>
          <w:rFonts w:asciiTheme="minorHAnsi" w:eastAsia="Arial" w:hAnsiTheme="minorHAnsi" w:cs="Arial"/>
          <w:szCs w:val="22"/>
        </w:rPr>
        <w:t> </w:t>
      </w:r>
      <w:r w:rsidRPr="00B07D79">
        <w:rPr>
          <w:rFonts w:asciiTheme="minorHAnsi" w:eastAsia="Arial" w:hAnsiTheme="minorHAnsi" w:cs="Arial"/>
          <w:szCs w:val="22"/>
        </w:rPr>
        <w:t>v</w:t>
      </w:r>
      <w:r w:rsidR="00292BD6" w:rsidRPr="00B07D79">
        <w:rPr>
          <w:rFonts w:asciiTheme="minorHAnsi" w:eastAsia="Arial" w:hAnsiTheme="minorHAnsi" w:cs="Arial"/>
          <w:szCs w:val="22"/>
        </w:rPr>
        <w:t> </w:t>
      </w:r>
      <w:r w:rsidR="002A1A04" w:rsidRPr="00B07D79">
        <w:rPr>
          <w:rFonts w:asciiTheme="minorHAnsi" w:eastAsia="Arial" w:hAnsiTheme="minorHAnsi" w:cs="Arial"/>
          <w:szCs w:val="22"/>
        </w:rPr>
        <w:t>Portugalsku</w:t>
      </w:r>
      <w:r w:rsidRPr="00B07D79">
        <w:rPr>
          <w:rFonts w:asciiTheme="minorHAnsi" w:eastAsia="Arial" w:hAnsiTheme="minorHAnsi" w:cs="Arial"/>
          <w:szCs w:val="22"/>
        </w:rPr>
        <w:t xml:space="preserve"> </w:t>
      </w:r>
      <w:r w:rsidR="002A1A04" w:rsidRPr="00B07D79">
        <w:rPr>
          <w:rFonts w:asciiTheme="minorHAnsi" w:eastAsia="Arial" w:hAnsiTheme="minorHAnsi" w:cs="Arial"/>
          <w:szCs w:val="22"/>
        </w:rPr>
        <w:t>a</w:t>
      </w:r>
      <w:r w:rsidR="00CF2351" w:rsidRPr="00B07D79">
        <w:rPr>
          <w:rFonts w:asciiTheme="minorHAnsi" w:eastAsia="Arial" w:hAnsiTheme="minorHAnsi" w:cs="Arial"/>
          <w:szCs w:val="22"/>
        </w:rPr>
        <w:t> </w:t>
      </w:r>
      <w:r w:rsidR="002A1A04" w:rsidRPr="00B07D79">
        <w:rPr>
          <w:rFonts w:asciiTheme="minorHAnsi" w:eastAsia="Arial" w:hAnsiTheme="minorHAnsi" w:cs="Arial"/>
          <w:szCs w:val="22"/>
        </w:rPr>
        <w:t xml:space="preserve">na maltě </w:t>
      </w:r>
      <w:r w:rsidRPr="00B07D79">
        <w:rPr>
          <w:rFonts w:asciiTheme="minorHAnsi" w:eastAsia="Arial" w:hAnsiTheme="minorHAnsi" w:cs="Arial"/>
          <w:szCs w:val="22"/>
        </w:rPr>
        <w:t>(13,6). Jak jsou v</w:t>
      </w:r>
      <w:r w:rsidR="00CF2351" w:rsidRPr="00B07D79">
        <w:rPr>
          <w:rFonts w:asciiTheme="minorHAnsi" w:eastAsia="Arial" w:hAnsiTheme="minorHAnsi" w:cs="Arial"/>
          <w:szCs w:val="22"/>
        </w:rPr>
        <w:t> </w:t>
      </w:r>
      <w:r w:rsidRPr="00B07D79">
        <w:rPr>
          <w:rFonts w:asciiTheme="minorHAnsi" w:eastAsia="Arial" w:hAnsiTheme="minorHAnsi" w:cs="Arial"/>
          <w:szCs w:val="22"/>
        </w:rPr>
        <w:t>tomto parametru na tom jednotlivé země EU, je</w:t>
      </w:r>
      <w:r w:rsidR="008126E4" w:rsidRPr="00B07D79">
        <w:rPr>
          <w:rFonts w:asciiTheme="minorHAnsi" w:eastAsia="Arial" w:hAnsiTheme="minorHAnsi" w:cs="Arial"/>
          <w:szCs w:val="22"/>
        </w:rPr>
        <w:t> </w:t>
      </w:r>
      <w:r w:rsidRPr="00B07D79">
        <w:rPr>
          <w:rFonts w:asciiTheme="minorHAnsi" w:eastAsia="Arial" w:hAnsiTheme="minorHAnsi" w:cs="Arial"/>
          <w:szCs w:val="22"/>
        </w:rPr>
        <w:t>pak zřejmé z</w:t>
      </w:r>
      <w:r w:rsidR="00CF2351" w:rsidRPr="00B07D79">
        <w:rPr>
          <w:rFonts w:asciiTheme="minorHAnsi" w:eastAsia="Arial" w:hAnsiTheme="minorHAnsi" w:cs="Arial"/>
          <w:szCs w:val="22"/>
        </w:rPr>
        <w:t> </w:t>
      </w:r>
      <w:r w:rsidRPr="00B07D79">
        <w:rPr>
          <w:rFonts w:asciiTheme="minorHAnsi" w:eastAsia="Arial" w:hAnsiTheme="minorHAnsi" w:cs="Arial"/>
          <w:szCs w:val="22"/>
        </w:rPr>
        <w:t>obrázku níže.</w:t>
      </w:r>
    </w:p>
    <w:p w14:paraId="58A67017" w14:textId="1347506B"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20 </w:t>
      </w:r>
      <w:r w:rsidRPr="005E2F84">
        <w:rPr>
          <w:rFonts w:asciiTheme="minorHAnsi" w:hAnsiTheme="minorHAnsi"/>
          <w:b w:val="0"/>
          <w:bCs w:val="0"/>
          <w:color w:val="385623" w:themeColor="accent6" w:themeShade="80"/>
        </w:rPr>
        <w:t>Bateriová elektrická vozidla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1 veřejný dobíjecí bod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EU</w:t>
      </w:r>
      <w:r w:rsidR="00F340DD" w:rsidRPr="005E2F84">
        <w:rPr>
          <w:rFonts w:asciiTheme="minorHAnsi" w:hAnsiTheme="minorHAnsi"/>
          <w:b w:val="0"/>
          <w:bCs w:val="0"/>
          <w:color w:val="385623" w:themeColor="accent6" w:themeShade="80"/>
        </w:rPr>
        <w:t xml:space="preserve"> </w:t>
      </w:r>
    </w:p>
    <w:p w14:paraId="0427105B" w14:textId="01A23DA2" w:rsidR="00BC0572" w:rsidRPr="00B07D79" w:rsidRDefault="004A1269" w:rsidP="00B07D79">
      <w:pPr>
        <w:spacing w:after="60" w:line="276" w:lineRule="auto"/>
        <w:jc w:val="both"/>
        <w:rPr>
          <w:rFonts w:asciiTheme="minorHAnsi" w:hAnsiTheme="minorHAnsi"/>
        </w:rPr>
      </w:pPr>
      <w:r w:rsidRPr="00B07D79">
        <w:rPr>
          <w:rFonts w:asciiTheme="minorHAnsi" w:hAnsiTheme="minorHAnsi"/>
          <w:noProof/>
        </w:rPr>
        <w:drawing>
          <wp:inline distT="0" distB="0" distL="0" distR="0" wp14:anchorId="28135918" wp14:editId="06B768F9">
            <wp:extent cx="5760720" cy="3693160"/>
            <wp:effectExtent l="0" t="0" r="0" b="2540"/>
            <wp:docPr id="861334939" name="Obrázek 1"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34939" name="Obrázek 1" descr="Obsah obrázku text, snímek obrazovky, řada/pruh, diagram&#10;&#10;Popis byl vytvořen automaticky"/>
                    <pic:cNvPicPr/>
                  </pic:nvPicPr>
                  <pic:blipFill>
                    <a:blip r:embed="rId50"/>
                    <a:stretch>
                      <a:fillRect/>
                    </a:stretch>
                  </pic:blipFill>
                  <pic:spPr>
                    <a:xfrm>
                      <a:off x="0" y="0"/>
                      <a:ext cx="5760720" cy="3693160"/>
                    </a:xfrm>
                    <a:prstGeom prst="rect">
                      <a:avLst/>
                    </a:prstGeom>
                  </pic:spPr>
                </pic:pic>
              </a:graphicData>
            </a:graphic>
          </wp:inline>
        </w:drawing>
      </w:r>
    </w:p>
    <w:p w14:paraId="69AB190C" w14:textId="77777777"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Zdroj: Centrum dopravního výzkumu</w:t>
      </w:r>
      <w:r w:rsidR="004A1269" w:rsidRPr="005E2F84">
        <w:rPr>
          <w:rFonts w:asciiTheme="minorHAnsi" w:eastAsia="Arial" w:hAnsiTheme="minorHAnsi" w:cs="Arial"/>
          <w:i/>
          <w:iCs/>
          <w:color w:val="385623" w:themeColor="accent6" w:themeShade="80"/>
          <w:sz w:val="20"/>
          <w:szCs w:val="20"/>
        </w:rPr>
        <w:t xml:space="preserve"> (EAFO, ACEA)</w:t>
      </w:r>
    </w:p>
    <w:p w14:paraId="0F021105" w14:textId="77777777" w:rsidR="003A7DBF" w:rsidRPr="00B07D79" w:rsidRDefault="003A7DBF" w:rsidP="00B07D79">
      <w:pPr>
        <w:spacing w:line="276" w:lineRule="auto"/>
        <w:jc w:val="both"/>
        <w:rPr>
          <w:rFonts w:asciiTheme="minorHAnsi" w:eastAsia="Arial" w:hAnsiTheme="minorHAnsi" w:cs="Arial"/>
          <w:i/>
          <w:iCs/>
          <w:sz w:val="20"/>
          <w:szCs w:val="20"/>
        </w:rPr>
      </w:pPr>
    </w:p>
    <w:p w14:paraId="63ECBEB8" w14:textId="39DE8441" w:rsidR="00BC0572" w:rsidRPr="00B07D79" w:rsidRDefault="00BC0572" w:rsidP="00B07D79">
      <w:pPr>
        <w:spacing w:line="276" w:lineRule="auto"/>
        <w:jc w:val="both"/>
        <w:rPr>
          <w:rFonts w:asciiTheme="minorHAnsi" w:hAnsiTheme="minorHAnsi"/>
        </w:rPr>
      </w:pPr>
      <w:r w:rsidRPr="00B07D79">
        <w:rPr>
          <w:rFonts w:asciiTheme="minorHAnsi" w:eastAsia="Arial" w:hAnsiTheme="minorHAnsi" w:cs="Arial"/>
          <w:szCs w:val="22"/>
        </w:rPr>
        <w:lastRenderedPageBreak/>
        <w:t>Následující obrázek pak relativizuje počet veřejných dobíjecích bodů na obyvatele, průměr zemí EU byl 107 veřejných dobíjecích bodů/100 tis. obyvatel. Nejvyšší podíly byly evidovány v</w:t>
      </w:r>
      <w:r w:rsidR="00CF2351" w:rsidRPr="00B07D79">
        <w:rPr>
          <w:rFonts w:asciiTheme="minorHAnsi" w:eastAsia="Arial" w:hAnsiTheme="minorHAnsi" w:cs="Arial"/>
          <w:szCs w:val="22"/>
        </w:rPr>
        <w:t> </w:t>
      </w:r>
      <w:r w:rsidRPr="00B07D79">
        <w:rPr>
          <w:rFonts w:asciiTheme="minorHAnsi" w:eastAsia="Arial" w:hAnsiTheme="minorHAnsi" w:cs="Arial"/>
          <w:szCs w:val="22"/>
        </w:rPr>
        <w:t>Nizozemsku (</w:t>
      </w:r>
      <w:r w:rsidR="002A1A04" w:rsidRPr="00B07D79">
        <w:rPr>
          <w:rFonts w:asciiTheme="minorHAnsi" w:eastAsia="Arial" w:hAnsiTheme="minorHAnsi" w:cs="Arial"/>
          <w:szCs w:val="22"/>
        </w:rPr>
        <w:t>816</w:t>
      </w:r>
      <w:r w:rsidRPr="00B07D79">
        <w:rPr>
          <w:rFonts w:asciiTheme="minorHAnsi" w:eastAsia="Arial" w:hAnsiTheme="minorHAnsi" w:cs="Arial"/>
          <w:szCs w:val="22"/>
        </w:rPr>
        <w:t xml:space="preserve">), </w:t>
      </w:r>
      <w:r w:rsidR="002A1A04" w:rsidRPr="00B07D79">
        <w:rPr>
          <w:rFonts w:asciiTheme="minorHAnsi" w:eastAsia="Arial" w:hAnsiTheme="minorHAnsi" w:cs="Arial"/>
          <w:szCs w:val="22"/>
        </w:rPr>
        <w:t xml:space="preserve">Dánsku </w:t>
      </w:r>
      <w:r w:rsidRPr="00B07D79">
        <w:rPr>
          <w:rFonts w:asciiTheme="minorHAnsi" w:eastAsia="Arial" w:hAnsiTheme="minorHAnsi" w:cs="Arial"/>
          <w:szCs w:val="22"/>
        </w:rPr>
        <w:t>(</w:t>
      </w:r>
      <w:r w:rsidR="002A1A04" w:rsidRPr="00B07D79">
        <w:rPr>
          <w:rFonts w:asciiTheme="minorHAnsi" w:eastAsia="Arial" w:hAnsiTheme="minorHAnsi" w:cs="Arial"/>
          <w:szCs w:val="22"/>
        </w:rPr>
        <w:t>391</w:t>
      </w:r>
      <w:r w:rsidRPr="00B07D79">
        <w:rPr>
          <w:rFonts w:asciiTheme="minorHAnsi" w:eastAsia="Arial" w:hAnsiTheme="minorHAnsi" w:cs="Arial"/>
          <w:szCs w:val="22"/>
        </w:rPr>
        <w:t>) a</w:t>
      </w:r>
      <w:r w:rsidR="00CF2351" w:rsidRPr="00B07D79">
        <w:rPr>
          <w:rFonts w:asciiTheme="minorHAnsi" w:eastAsia="Arial" w:hAnsiTheme="minorHAnsi" w:cs="Arial"/>
          <w:szCs w:val="22"/>
        </w:rPr>
        <w:t> </w:t>
      </w:r>
      <w:r w:rsidR="002A1A04" w:rsidRPr="00B07D79">
        <w:rPr>
          <w:rFonts w:asciiTheme="minorHAnsi" w:eastAsia="Arial" w:hAnsiTheme="minorHAnsi" w:cs="Arial"/>
          <w:szCs w:val="22"/>
        </w:rPr>
        <w:t xml:space="preserve">Belgii </w:t>
      </w:r>
      <w:r w:rsidRPr="00B07D79">
        <w:rPr>
          <w:rFonts w:asciiTheme="minorHAnsi" w:eastAsia="Arial" w:hAnsiTheme="minorHAnsi" w:cs="Arial"/>
          <w:szCs w:val="22"/>
        </w:rPr>
        <w:t>(</w:t>
      </w:r>
      <w:r w:rsidR="002A1A04" w:rsidRPr="00B07D79">
        <w:rPr>
          <w:rFonts w:asciiTheme="minorHAnsi" w:eastAsia="Arial" w:hAnsiTheme="minorHAnsi" w:cs="Arial"/>
          <w:szCs w:val="22"/>
        </w:rPr>
        <w:t>380</w:t>
      </w:r>
      <w:r w:rsidRPr="00B07D79">
        <w:rPr>
          <w:rFonts w:asciiTheme="minorHAnsi" w:eastAsia="Arial" w:hAnsiTheme="minorHAnsi" w:cs="Arial"/>
          <w:szCs w:val="22"/>
        </w:rPr>
        <w:t>). Ze zemí V4 bylo nejvíce bodů na</w:t>
      </w:r>
      <w:r w:rsidR="008126E4" w:rsidRPr="00B07D79">
        <w:rPr>
          <w:rFonts w:asciiTheme="minorHAnsi" w:eastAsia="Arial" w:hAnsiTheme="minorHAnsi" w:cs="Arial"/>
          <w:szCs w:val="22"/>
        </w:rPr>
        <w:t> </w:t>
      </w:r>
      <w:r w:rsidRPr="00B07D79">
        <w:rPr>
          <w:rFonts w:asciiTheme="minorHAnsi" w:eastAsia="Arial" w:hAnsiTheme="minorHAnsi" w:cs="Arial"/>
          <w:szCs w:val="22"/>
        </w:rPr>
        <w:t xml:space="preserve">obyvatele evidováno </w:t>
      </w:r>
      <w:r w:rsidR="002A1A04" w:rsidRPr="00B07D79">
        <w:rPr>
          <w:rFonts w:asciiTheme="minorHAnsi" w:eastAsia="Arial" w:hAnsiTheme="minorHAnsi" w:cs="Arial"/>
          <w:szCs w:val="22"/>
        </w:rPr>
        <w:t>v</w:t>
      </w:r>
      <w:r w:rsidR="00CF2351" w:rsidRPr="00B07D79">
        <w:rPr>
          <w:rFonts w:asciiTheme="minorHAnsi" w:eastAsia="Arial" w:hAnsiTheme="minorHAnsi" w:cs="Arial"/>
          <w:szCs w:val="22"/>
        </w:rPr>
        <w:t> </w:t>
      </w:r>
      <w:r w:rsidR="002A1A04" w:rsidRPr="00B07D79">
        <w:rPr>
          <w:rFonts w:asciiTheme="minorHAnsi" w:eastAsia="Arial" w:hAnsiTheme="minorHAnsi" w:cs="Arial"/>
          <w:szCs w:val="22"/>
        </w:rPr>
        <w:t>ČR a</w:t>
      </w:r>
      <w:r w:rsidR="00CF2351" w:rsidRPr="00B07D79">
        <w:rPr>
          <w:rFonts w:asciiTheme="minorHAnsi" w:eastAsia="Arial" w:hAnsiTheme="minorHAnsi" w:cs="Arial"/>
          <w:szCs w:val="22"/>
        </w:rPr>
        <w:t> </w:t>
      </w:r>
      <w:r w:rsidRPr="00B07D79">
        <w:rPr>
          <w:rFonts w:asciiTheme="minorHAnsi" w:eastAsia="Arial" w:hAnsiTheme="minorHAnsi" w:cs="Arial"/>
          <w:szCs w:val="22"/>
        </w:rPr>
        <w:t>na Slovensku (4</w:t>
      </w:r>
      <w:r w:rsidR="002A1A04" w:rsidRPr="00B07D79">
        <w:rPr>
          <w:rFonts w:asciiTheme="minorHAnsi" w:eastAsia="Arial" w:hAnsiTheme="minorHAnsi" w:cs="Arial"/>
          <w:szCs w:val="22"/>
        </w:rPr>
        <w:t>4</w:t>
      </w:r>
      <w:r w:rsidRPr="00B07D79">
        <w:rPr>
          <w:rFonts w:asciiTheme="minorHAnsi" w:eastAsia="Arial" w:hAnsiTheme="minorHAnsi" w:cs="Arial"/>
          <w:szCs w:val="22"/>
        </w:rPr>
        <w:t>), pak v</w:t>
      </w:r>
      <w:r w:rsidR="00CF2351" w:rsidRPr="00B07D79">
        <w:rPr>
          <w:rFonts w:asciiTheme="minorHAnsi" w:eastAsia="Arial" w:hAnsiTheme="minorHAnsi" w:cs="Arial"/>
          <w:szCs w:val="22"/>
        </w:rPr>
        <w:t> </w:t>
      </w:r>
      <w:r w:rsidRPr="00B07D79">
        <w:rPr>
          <w:rFonts w:asciiTheme="minorHAnsi" w:eastAsia="Arial" w:hAnsiTheme="minorHAnsi" w:cs="Arial"/>
          <w:szCs w:val="22"/>
        </w:rPr>
        <w:t>Maďarsku 3</w:t>
      </w:r>
      <w:r w:rsidR="002A1A04" w:rsidRPr="00B07D79">
        <w:rPr>
          <w:rFonts w:asciiTheme="minorHAnsi" w:eastAsia="Arial" w:hAnsiTheme="minorHAnsi" w:cs="Arial"/>
          <w:szCs w:val="22"/>
        </w:rPr>
        <w:t>4</w:t>
      </w:r>
      <w:r w:rsidR="00584E0D" w:rsidRPr="00B07D79">
        <w:rPr>
          <w:rFonts w:asciiTheme="minorHAnsi" w:eastAsia="Arial" w:hAnsiTheme="minorHAnsi" w:cs="Arial"/>
          <w:szCs w:val="22"/>
        </w:rPr>
        <w:t>.</w:t>
      </w:r>
      <w:r w:rsidRPr="00B07D79">
        <w:rPr>
          <w:rFonts w:asciiTheme="minorHAnsi" w:eastAsia="Arial" w:hAnsiTheme="minorHAnsi" w:cs="Arial"/>
          <w:szCs w:val="22"/>
        </w:rPr>
        <w:t xml:space="preserve"> </w:t>
      </w:r>
    </w:p>
    <w:p w14:paraId="0C5D7F20" w14:textId="31E4DD35"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21</w:t>
      </w:r>
      <w:r w:rsidRPr="005E2F84">
        <w:rPr>
          <w:rFonts w:asciiTheme="minorHAnsi" w:hAnsiTheme="minorHAnsi"/>
          <w:b w:val="0"/>
          <w:bCs w:val="0"/>
          <w:color w:val="385623" w:themeColor="accent6" w:themeShade="80"/>
        </w:rPr>
        <w:t xml:space="preserve"> Veřejné dobíjecí body na 100 tisíc obyvatel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EU</w:t>
      </w:r>
    </w:p>
    <w:p w14:paraId="79E29FC6" w14:textId="686669FC" w:rsidR="00BC0572" w:rsidRPr="00B07D79" w:rsidRDefault="00144801" w:rsidP="00B07D79">
      <w:pPr>
        <w:keepNext/>
        <w:spacing w:line="276" w:lineRule="auto"/>
        <w:jc w:val="both"/>
        <w:rPr>
          <w:rFonts w:asciiTheme="minorHAnsi" w:hAnsiTheme="minorHAnsi"/>
        </w:rPr>
      </w:pPr>
      <w:r w:rsidRPr="00B07D79">
        <w:rPr>
          <w:rFonts w:asciiTheme="minorHAnsi" w:hAnsiTheme="minorHAnsi"/>
          <w:noProof/>
        </w:rPr>
        <w:drawing>
          <wp:inline distT="0" distB="0" distL="0" distR="0" wp14:anchorId="62100BAD" wp14:editId="524E62C0">
            <wp:extent cx="5760720" cy="3705225"/>
            <wp:effectExtent l="0" t="0" r="0" b="9525"/>
            <wp:docPr id="1210201316" name="Obrázek 1" descr="Obsah obrázku text, snímek obrazovky, software,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01316" name="Obrázek 1" descr="Obsah obrázku text, snímek obrazovky, software, diagram&#10;&#10;Popis byl vytvořen automaticky"/>
                    <pic:cNvPicPr/>
                  </pic:nvPicPr>
                  <pic:blipFill>
                    <a:blip r:embed="rId51"/>
                    <a:stretch>
                      <a:fillRect/>
                    </a:stretch>
                  </pic:blipFill>
                  <pic:spPr>
                    <a:xfrm>
                      <a:off x="0" y="0"/>
                      <a:ext cx="5760720" cy="3705225"/>
                    </a:xfrm>
                    <a:prstGeom prst="rect">
                      <a:avLst/>
                    </a:prstGeom>
                  </pic:spPr>
                </pic:pic>
              </a:graphicData>
            </a:graphic>
          </wp:inline>
        </w:drawing>
      </w:r>
    </w:p>
    <w:p w14:paraId="06187521" w14:textId="77777777"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Zdroj: Centrum dopravního výzkumu</w:t>
      </w:r>
      <w:r w:rsidR="00035E9A" w:rsidRPr="005E2F84">
        <w:rPr>
          <w:rFonts w:asciiTheme="minorHAnsi" w:eastAsia="Arial" w:hAnsiTheme="minorHAnsi" w:cs="Arial"/>
          <w:i/>
          <w:iCs/>
          <w:color w:val="385623" w:themeColor="accent6" w:themeShade="80"/>
          <w:sz w:val="20"/>
          <w:szCs w:val="20"/>
        </w:rPr>
        <w:t xml:space="preserve"> (EAFO, Eurostat)</w:t>
      </w:r>
    </w:p>
    <w:p w14:paraId="71DF064F" w14:textId="77777777" w:rsidR="003A7DBF" w:rsidRPr="00B07D79" w:rsidRDefault="003A7DBF" w:rsidP="00B07D79">
      <w:pPr>
        <w:spacing w:line="276" w:lineRule="auto"/>
        <w:jc w:val="both"/>
        <w:rPr>
          <w:rFonts w:asciiTheme="minorHAnsi" w:eastAsia="Arial" w:hAnsiTheme="minorHAnsi" w:cs="Arial"/>
          <w:i/>
          <w:iCs/>
          <w:sz w:val="20"/>
          <w:szCs w:val="20"/>
        </w:rPr>
      </w:pPr>
    </w:p>
    <w:p w14:paraId="735232C0" w14:textId="2491B987" w:rsidR="00BC0572" w:rsidRPr="00B07D79" w:rsidRDefault="00BC0572" w:rsidP="00B07D79">
      <w:pPr>
        <w:spacing w:line="276" w:lineRule="auto"/>
        <w:jc w:val="both"/>
        <w:rPr>
          <w:rFonts w:asciiTheme="minorHAnsi" w:hAnsiTheme="minorHAnsi"/>
        </w:rPr>
      </w:pPr>
      <w:r w:rsidRPr="00B07D79">
        <w:rPr>
          <w:rFonts w:asciiTheme="minorHAnsi" w:eastAsia="Arial" w:hAnsiTheme="minorHAnsi" w:cs="Arial"/>
        </w:rPr>
        <w:t>Výkonová struktura veřejných dobíjecích bodů v</w:t>
      </w:r>
      <w:r w:rsidR="00CF2351" w:rsidRPr="00B07D79">
        <w:rPr>
          <w:rFonts w:asciiTheme="minorHAnsi" w:eastAsia="Arial" w:hAnsiTheme="minorHAnsi" w:cs="Arial"/>
        </w:rPr>
        <w:t> </w:t>
      </w:r>
      <w:r w:rsidRPr="00B07D79">
        <w:rPr>
          <w:rFonts w:asciiTheme="minorHAnsi" w:eastAsia="Arial" w:hAnsiTheme="minorHAnsi" w:cs="Arial"/>
        </w:rPr>
        <w:t>EU a</w:t>
      </w:r>
      <w:r w:rsidR="00CF2351" w:rsidRPr="00B07D79">
        <w:rPr>
          <w:rFonts w:asciiTheme="minorHAnsi" w:eastAsia="Arial" w:hAnsiTheme="minorHAnsi" w:cs="Arial"/>
        </w:rPr>
        <w:t> </w:t>
      </w:r>
      <w:r w:rsidRPr="00B07D79">
        <w:rPr>
          <w:rFonts w:asciiTheme="minorHAnsi" w:eastAsia="Arial" w:hAnsiTheme="minorHAnsi" w:cs="Arial"/>
        </w:rPr>
        <w:t>v ČR je zřejmá z</w:t>
      </w:r>
      <w:r w:rsidR="00CF2351" w:rsidRPr="00B07D79">
        <w:rPr>
          <w:rFonts w:asciiTheme="minorHAnsi" w:eastAsia="Arial" w:hAnsiTheme="minorHAnsi" w:cs="Arial"/>
        </w:rPr>
        <w:t> </w:t>
      </w:r>
      <w:r w:rsidRPr="00B07D79">
        <w:rPr>
          <w:rFonts w:asciiTheme="minorHAnsi" w:eastAsia="Arial" w:hAnsiTheme="minorHAnsi" w:cs="Arial"/>
        </w:rPr>
        <w:t>uvedeného obrázku. V</w:t>
      </w:r>
      <w:r w:rsidR="00CF2351" w:rsidRPr="00B07D79">
        <w:rPr>
          <w:rFonts w:asciiTheme="minorHAnsi" w:eastAsia="Arial" w:hAnsiTheme="minorHAnsi" w:cs="Arial"/>
        </w:rPr>
        <w:t> </w:t>
      </w:r>
      <w:r w:rsidRPr="00B07D79">
        <w:rPr>
          <w:rFonts w:asciiTheme="minorHAnsi" w:eastAsia="Arial" w:hAnsiTheme="minorHAnsi" w:cs="Arial"/>
        </w:rPr>
        <w:t>zemích EU je vyšší podíl pomalejších AC bodů, což se pak (logicky) propisuje do podílu DC</w:t>
      </w:r>
      <w:r w:rsidR="008126E4" w:rsidRPr="00B07D79">
        <w:rPr>
          <w:rFonts w:asciiTheme="minorHAnsi" w:eastAsia="Arial" w:hAnsiTheme="minorHAnsi" w:cs="Arial"/>
        </w:rPr>
        <w:t> </w:t>
      </w:r>
      <w:r w:rsidRPr="00B07D79">
        <w:rPr>
          <w:rFonts w:asciiTheme="minorHAnsi" w:eastAsia="Arial" w:hAnsiTheme="minorHAnsi" w:cs="Arial"/>
        </w:rPr>
        <w:t>bodů, kterých je v</w:t>
      </w:r>
      <w:r w:rsidR="00CF2351" w:rsidRPr="00B07D79">
        <w:rPr>
          <w:rFonts w:asciiTheme="minorHAnsi" w:eastAsia="Arial" w:hAnsiTheme="minorHAnsi" w:cs="Arial"/>
        </w:rPr>
        <w:t> </w:t>
      </w:r>
      <w:r w:rsidRPr="00B07D79">
        <w:rPr>
          <w:rFonts w:asciiTheme="minorHAnsi" w:eastAsia="Arial" w:hAnsiTheme="minorHAnsi" w:cs="Arial"/>
        </w:rPr>
        <w:t>rámci zemí EU 10 %, v</w:t>
      </w:r>
      <w:r w:rsidR="00CF2351" w:rsidRPr="00B07D79">
        <w:rPr>
          <w:rFonts w:asciiTheme="minorHAnsi" w:eastAsia="Arial" w:hAnsiTheme="minorHAnsi" w:cs="Arial"/>
        </w:rPr>
        <w:t> </w:t>
      </w:r>
      <w:r w:rsidRPr="00B07D79">
        <w:rPr>
          <w:rFonts w:asciiTheme="minorHAnsi" w:eastAsia="Arial" w:hAnsiTheme="minorHAnsi" w:cs="Arial"/>
        </w:rPr>
        <w:t>ČR pak 27 % - výrazný vliv DC dobíjecích bodů 50-150 kW.</w:t>
      </w:r>
    </w:p>
    <w:p w14:paraId="3371DFB2" w14:textId="340706E8"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Obrázek </w:t>
      </w:r>
      <w:r w:rsidR="003A7DBF" w:rsidRPr="005E2F84">
        <w:rPr>
          <w:rFonts w:asciiTheme="minorHAnsi" w:hAnsiTheme="minorHAnsi"/>
          <w:b w:val="0"/>
          <w:bCs w:val="0"/>
          <w:color w:val="385623" w:themeColor="accent6" w:themeShade="80"/>
        </w:rPr>
        <w:t>22</w:t>
      </w:r>
      <w:r w:rsidRPr="005E2F84">
        <w:rPr>
          <w:rFonts w:asciiTheme="minorHAnsi" w:hAnsiTheme="minorHAnsi"/>
          <w:b w:val="0"/>
          <w:bCs w:val="0"/>
          <w:color w:val="385623" w:themeColor="accent6" w:themeShade="80"/>
        </w:rPr>
        <w:t xml:space="preserve"> Podíl </w:t>
      </w:r>
      <w:r w:rsidR="00144801" w:rsidRPr="005E2F84">
        <w:rPr>
          <w:rFonts w:asciiTheme="minorHAnsi" w:hAnsiTheme="minorHAnsi"/>
          <w:b w:val="0"/>
          <w:bCs w:val="0"/>
          <w:color w:val="385623" w:themeColor="accent6" w:themeShade="80"/>
        </w:rPr>
        <w:t>veřejných</w:t>
      </w:r>
      <w:r w:rsidRPr="005E2F84">
        <w:rPr>
          <w:rFonts w:asciiTheme="minorHAnsi" w:hAnsiTheme="minorHAnsi"/>
          <w:b w:val="0"/>
          <w:bCs w:val="0"/>
          <w:color w:val="385623" w:themeColor="accent6" w:themeShade="80"/>
        </w:rPr>
        <w:t xml:space="preserve"> dobíjecích bodů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EU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p w14:paraId="187078DA" w14:textId="77777777" w:rsidR="00BC0572" w:rsidRPr="00B07D79" w:rsidRDefault="008D3A19" w:rsidP="00B07D79">
      <w:pPr>
        <w:keepNext/>
        <w:spacing w:line="276" w:lineRule="auto"/>
        <w:jc w:val="both"/>
        <w:rPr>
          <w:rFonts w:asciiTheme="minorHAnsi" w:hAnsiTheme="minorHAnsi"/>
        </w:rPr>
      </w:pPr>
      <w:r w:rsidRPr="00B07D79">
        <w:rPr>
          <w:rFonts w:asciiTheme="minorHAnsi" w:hAnsiTheme="minorHAnsi"/>
          <w:noProof/>
          <w:color w:val="2B579A"/>
          <w:shd w:val="clear" w:color="auto" w:fill="E6E6E6"/>
        </w:rPr>
        <w:drawing>
          <wp:inline distT="0" distB="0" distL="0" distR="0" wp14:anchorId="2DD90343" wp14:editId="795EE06D">
            <wp:extent cx="5760000" cy="3240000"/>
            <wp:effectExtent l="0" t="0" r="0" b="0"/>
            <wp:docPr id="345585384" name="Obrázek 34558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86606" name=""/>
                    <pic:cNvPicPr/>
                  </pic:nvPicPr>
                  <pic:blipFill>
                    <a:blip r:embed="rId52">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329F7187" w14:textId="7984606F" w:rsidR="00BC0572" w:rsidRPr="00B07D79" w:rsidRDefault="00144801" w:rsidP="00B07D79">
      <w:pPr>
        <w:keepNext/>
        <w:spacing w:line="276" w:lineRule="auto"/>
        <w:jc w:val="both"/>
        <w:rPr>
          <w:rFonts w:asciiTheme="minorHAnsi" w:hAnsiTheme="minorHAnsi"/>
        </w:rPr>
      </w:pPr>
      <w:r w:rsidRPr="00B07D79">
        <w:rPr>
          <w:rFonts w:asciiTheme="minorHAnsi" w:hAnsiTheme="minorHAnsi"/>
          <w:noProof/>
        </w:rPr>
        <w:t xml:space="preserve"> </w:t>
      </w:r>
      <w:r w:rsidRPr="00B07D79">
        <w:rPr>
          <w:rFonts w:asciiTheme="minorHAnsi" w:hAnsiTheme="minorHAnsi"/>
          <w:noProof/>
        </w:rPr>
        <w:drawing>
          <wp:inline distT="0" distB="0" distL="0" distR="0" wp14:anchorId="73964F95" wp14:editId="29700A0D">
            <wp:extent cx="1849873" cy="1584000"/>
            <wp:effectExtent l="0" t="0" r="0" b="0"/>
            <wp:docPr id="687452244" name="Obrázek 1" descr="Obsah obrázku text, snímek obrazovky, kruh, Barevn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52244" name="Obrázek 1" descr="Obsah obrázku text, snímek obrazovky, kruh, Barevnost&#10;&#10;Popis byl vytvořen automaticky"/>
                    <pic:cNvPicPr/>
                  </pic:nvPicPr>
                  <pic:blipFill>
                    <a:blip r:embed="rId53"/>
                    <a:stretch>
                      <a:fillRect/>
                    </a:stretch>
                  </pic:blipFill>
                  <pic:spPr>
                    <a:xfrm>
                      <a:off x="0" y="0"/>
                      <a:ext cx="1849873" cy="1584000"/>
                    </a:xfrm>
                    <a:prstGeom prst="rect">
                      <a:avLst/>
                    </a:prstGeom>
                  </pic:spPr>
                </pic:pic>
              </a:graphicData>
            </a:graphic>
          </wp:inline>
        </w:drawing>
      </w:r>
      <w:r w:rsidRPr="00B07D79">
        <w:rPr>
          <w:rFonts w:asciiTheme="minorHAnsi" w:hAnsiTheme="minorHAnsi"/>
          <w:noProof/>
        </w:rPr>
        <w:t xml:space="preserve"> </w:t>
      </w:r>
      <w:r w:rsidRPr="00B07D79">
        <w:rPr>
          <w:rFonts w:asciiTheme="minorHAnsi" w:hAnsiTheme="minorHAnsi"/>
          <w:noProof/>
        </w:rPr>
        <w:drawing>
          <wp:inline distT="0" distB="0" distL="0" distR="0" wp14:anchorId="0540CD8B" wp14:editId="191DB17D">
            <wp:extent cx="3872284" cy="1584000"/>
            <wp:effectExtent l="0" t="0" r="0" b="0"/>
            <wp:docPr id="65721895" name="Obrázek 1"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1895" name="Obrázek 1" descr="Obsah obrázku text, snímek obrazovky, Písmo, diagram&#10;&#10;Popis byl vytvořen automaticky"/>
                    <pic:cNvPicPr/>
                  </pic:nvPicPr>
                  <pic:blipFill>
                    <a:blip r:embed="rId54"/>
                    <a:stretch>
                      <a:fillRect/>
                    </a:stretch>
                  </pic:blipFill>
                  <pic:spPr>
                    <a:xfrm>
                      <a:off x="0" y="0"/>
                      <a:ext cx="3872284" cy="1584000"/>
                    </a:xfrm>
                    <a:prstGeom prst="rect">
                      <a:avLst/>
                    </a:prstGeom>
                  </pic:spPr>
                </pic:pic>
              </a:graphicData>
            </a:graphic>
          </wp:inline>
        </w:drawing>
      </w:r>
    </w:p>
    <w:p w14:paraId="29D314EC" w14:textId="667482C0"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 xml:space="preserve">Zdroj: </w:t>
      </w:r>
      <w:hyperlink r:id="rId55" w:history="1">
        <w:r w:rsidR="00144801" w:rsidRPr="005E2F84">
          <w:rPr>
            <w:rStyle w:val="Hypertextovodkaz"/>
            <w:rFonts w:asciiTheme="minorHAnsi" w:eastAsia="Arial" w:hAnsiTheme="minorHAnsi" w:cs="Arial"/>
            <w:i/>
            <w:iCs/>
            <w:color w:val="385623" w:themeColor="accent6" w:themeShade="80"/>
            <w:sz w:val="20"/>
            <w:szCs w:val="20"/>
            <w:u w:val="none"/>
          </w:rPr>
          <w:t>www.cistadoprava.cz</w:t>
        </w:r>
      </w:hyperlink>
      <w:r w:rsidR="00144801" w:rsidRPr="005E2F84">
        <w:rPr>
          <w:rFonts w:asciiTheme="minorHAnsi" w:eastAsia="Arial" w:hAnsiTheme="minorHAnsi" w:cs="Arial"/>
          <w:i/>
          <w:iCs/>
          <w:color w:val="385623" w:themeColor="accent6" w:themeShade="80"/>
          <w:sz w:val="20"/>
          <w:szCs w:val="20"/>
        </w:rPr>
        <w:t xml:space="preserve"> (CDV, </w:t>
      </w:r>
      <w:r w:rsidRPr="005E2F84">
        <w:rPr>
          <w:rFonts w:asciiTheme="minorHAnsi" w:eastAsia="Arial" w:hAnsiTheme="minorHAnsi" w:cs="Arial"/>
          <w:i/>
          <w:iCs/>
          <w:color w:val="385623" w:themeColor="accent6" w:themeShade="80"/>
          <w:sz w:val="20"/>
          <w:szCs w:val="20"/>
        </w:rPr>
        <w:t>EAFO</w:t>
      </w:r>
      <w:r w:rsidR="00144801" w:rsidRPr="005E2F84">
        <w:rPr>
          <w:rFonts w:asciiTheme="minorHAnsi" w:eastAsia="Arial" w:hAnsiTheme="minorHAnsi" w:cs="Arial"/>
          <w:i/>
          <w:iCs/>
          <w:color w:val="385623" w:themeColor="accent6" w:themeShade="80"/>
          <w:sz w:val="20"/>
          <w:szCs w:val="20"/>
        </w:rPr>
        <w:t>)</w:t>
      </w:r>
    </w:p>
    <w:p w14:paraId="4FF5C32D" w14:textId="77777777" w:rsidR="003A7DBF" w:rsidRPr="00B07D79" w:rsidRDefault="003A7DBF" w:rsidP="00B07D79">
      <w:pPr>
        <w:spacing w:line="276" w:lineRule="auto"/>
        <w:jc w:val="both"/>
        <w:rPr>
          <w:rFonts w:asciiTheme="minorHAnsi" w:eastAsia="Arial" w:hAnsiTheme="minorHAnsi" w:cs="Arial"/>
          <w:i/>
          <w:iCs/>
          <w:sz w:val="20"/>
          <w:szCs w:val="20"/>
        </w:rPr>
      </w:pPr>
    </w:p>
    <w:p w14:paraId="21D66326" w14:textId="0EFF3918" w:rsidR="00BC0572" w:rsidRPr="00B07D79" w:rsidRDefault="00292BD6"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ČR</w:t>
      </w:r>
      <w:r w:rsidR="00BC0572" w:rsidRPr="00B07D79">
        <w:rPr>
          <w:rFonts w:asciiTheme="minorHAnsi" w:eastAsia="Arial" w:hAnsiTheme="minorHAnsi" w:cs="Arial"/>
          <w:szCs w:val="22"/>
        </w:rPr>
        <w:t xml:space="preserve"> v</w:t>
      </w:r>
      <w:r w:rsidR="00CF2351" w:rsidRPr="00B07D79">
        <w:rPr>
          <w:rFonts w:asciiTheme="minorHAnsi" w:eastAsia="Arial" w:hAnsiTheme="minorHAnsi" w:cs="Arial"/>
          <w:szCs w:val="22"/>
        </w:rPr>
        <w:t> </w:t>
      </w:r>
      <w:r w:rsidR="00BC0572" w:rsidRPr="00B07D79">
        <w:rPr>
          <w:rFonts w:asciiTheme="minorHAnsi" w:eastAsia="Arial" w:hAnsiTheme="minorHAnsi" w:cs="Arial"/>
          <w:szCs w:val="22"/>
        </w:rPr>
        <w:t>podílu DC dobíjecích bodů (50+kW) patří mezi zeměmi EU téměř na špici, vyšší podíly jsou pouze ve 2 zemích: Lotyšsku a</w:t>
      </w:r>
      <w:r w:rsidR="00CF2351" w:rsidRPr="00B07D79">
        <w:rPr>
          <w:rFonts w:asciiTheme="minorHAnsi" w:eastAsia="Arial" w:hAnsiTheme="minorHAnsi" w:cs="Arial"/>
          <w:szCs w:val="22"/>
        </w:rPr>
        <w:t> </w:t>
      </w:r>
      <w:r w:rsidR="00BC0572" w:rsidRPr="00B07D79">
        <w:rPr>
          <w:rFonts w:asciiTheme="minorHAnsi" w:eastAsia="Arial" w:hAnsiTheme="minorHAnsi" w:cs="Arial"/>
          <w:szCs w:val="22"/>
        </w:rPr>
        <w:t>Estonsku.</w:t>
      </w:r>
    </w:p>
    <w:p w14:paraId="4E69F40F" w14:textId="51C4C83A" w:rsidR="00543428" w:rsidRPr="00B07D79" w:rsidRDefault="00543428" w:rsidP="00B07D79">
      <w:pPr>
        <w:spacing w:line="276" w:lineRule="auto"/>
        <w:jc w:val="both"/>
        <w:rPr>
          <w:rFonts w:asciiTheme="minorHAnsi" w:eastAsia="Arial" w:hAnsiTheme="minorHAnsi" w:cs="Arial"/>
          <w:szCs w:val="22"/>
        </w:rPr>
      </w:pPr>
    </w:p>
    <w:p w14:paraId="7109C3D2" w14:textId="77777777" w:rsidR="003A7DBF" w:rsidRPr="00B07D79" w:rsidRDefault="003A7DBF" w:rsidP="00B07D79">
      <w:pPr>
        <w:spacing w:line="276" w:lineRule="auto"/>
        <w:jc w:val="both"/>
        <w:rPr>
          <w:rFonts w:asciiTheme="minorHAnsi" w:hAnsiTheme="minorHAnsi"/>
        </w:rPr>
      </w:pPr>
    </w:p>
    <w:p w14:paraId="6A906D3B" w14:textId="0EB83EF7" w:rsidR="00543428" w:rsidRPr="005E2F84" w:rsidRDefault="00BC0572"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Obrázek </w:t>
      </w:r>
      <w:r w:rsidR="003A7DBF" w:rsidRPr="005E2F84">
        <w:rPr>
          <w:rFonts w:asciiTheme="minorHAnsi" w:hAnsiTheme="minorHAnsi"/>
          <w:b w:val="0"/>
          <w:bCs w:val="0"/>
          <w:color w:val="385623" w:themeColor="accent6" w:themeShade="80"/>
        </w:rPr>
        <w:t xml:space="preserve">23 </w:t>
      </w:r>
      <w:r w:rsidRPr="005E2F84">
        <w:rPr>
          <w:rFonts w:asciiTheme="minorHAnsi" w:hAnsiTheme="minorHAnsi"/>
          <w:b w:val="0"/>
          <w:bCs w:val="0"/>
          <w:color w:val="385623" w:themeColor="accent6" w:themeShade="80"/>
        </w:rPr>
        <w:t>Podíl DC dobíjecích bodu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zemích EU</w:t>
      </w:r>
    </w:p>
    <w:p w14:paraId="1AE35B5F" w14:textId="48F1427C" w:rsidR="00BC0572" w:rsidRPr="00B07D79" w:rsidRDefault="00144801" w:rsidP="00B07D79">
      <w:pPr>
        <w:pStyle w:val="Titulek"/>
        <w:spacing w:line="276" w:lineRule="auto"/>
        <w:jc w:val="both"/>
        <w:rPr>
          <w:rFonts w:asciiTheme="minorHAnsi" w:hAnsiTheme="minorHAnsi"/>
          <w:b w:val="0"/>
          <w:bCs w:val="0"/>
        </w:rPr>
        <w:sectPr w:rsidR="00BC0572" w:rsidRPr="00B07D79" w:rsidSect="00974D63">
          <w:headerReference w:type="even" r:id="rId56"/>
          <w:footerReference w:type="default" r:id="rId57"/>
          <w:headerReference w:type="first" r:id="rId58"/>
          <w:type w:val="continuous"/>
          <w:pgSz w:w="11906" w:h="16838"/>
          <w:pgMar w:top="2038" w:right="1417" w:bottom="1417" w:left="1417" w:header="708" w:footer="708" w:gutter="0"/>
          <w:cols w:space="708"/>
          <w:docGrid w:linePitch="360"/>
        </w:sectPr>
      </w:pPr>
      <w:r w:rsidRPr="00B07D79">
        <w:rPr>
          <w:rFonts w:asciiTheme="minorHAnsi" w:hAnsiTheme="minorHAnsi"/>
          <w:b w:val="0"/>
          <w:bCs w:val="0"/>
          <w:noProof/>
        </w:rPr>
        <w:drawing>
          <wp:inline distT="0" distB="0" distL="0" distR="0" wp14:anchorId="4776BDD0" wp14:editId="41E9263E">
            <wp:extent cx="5760720" cy="3380740"/>
            <wp:effectExtent l="0" t="0" r="0" b="0"/>
            <wp:docPr id="95948094" name="Obrázek 1" descr="Obsah obrázku text, snímek obrazovky,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094" name="Obrázek 1" descr="Obsah obrázku text, snímek obrazovky, diagram, řada/pruh&#10;&#10;Popis byl vytvořen automaticky"/>
                    <pic:cNvPicPr/>
                  </pic:nvPicPr>
                  <pic:blipFill>
                    <a:blip r:embed="rId59"/>
                    <a:stretch>
                      <a:fillRect/>
                    </a:stretch>
                  </pic:blipFill>
                  <pic:spPr>
                    <a:xfrm>
                      <a:off x="0" y="0"/>
                      <a:ext cx="5760720" cy="3380740"/>
                    </a:xfrm>
                    <a:prstGeom prst="rect">
                      <a:avLst/>
                    </a:prstGeom>
                  </pic:spPr>
                </pic:pic>
              </a:graphicData>
            </a:graphic>
          </wp:inline>
        </w:drawing>
      </w:r>
    </w:p>
    <w:p w14:paraId="525D1C98" w14:textId="6FA1F26D"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2"/>
        </w:rPr>
      </w:pPr>
      <w:r w:rsidRPr="005E2F84">
        <w:rPr>
          <w:rFonts w:asciiTheme="minorHAnsi" w:eastAsia="Arial" w:hAnsiTheme="minorHAnsi" w:cs="Arial"/>
          <w:i/>
          <w:iCs/>
          <w:color w:val="385623" w:themeColor="accent6" w:themeShade="80"/>
          <w:sz w:val="20"/>
          <w:szCs w:val="22"/>
        </w:rPr>
        <w:t xml:space="preserve">Zdroj: </w:t>
      </w:r>
      <w:r w:rsidR="00144801" w:rsidRPr="005E2F84">
        <w:rPr>
          <w:rFonts w:asciiTheme="minorHAnsi" w:eastAsia="Arial" w:hAnsiTheme="minorHAnsi" w:cs="Arial"/>
          <w:i/>
          <w:iCs/>
          <w:color w:val="385623" w:themeColor="accent6" w:themeShade="80"/>
          <w:sz w:val="20"/>
          <w:szCs w:val="22"/>
        </w:rPr>
        <w:t>www.cistadoprava.cz (CDV,</w:t>
      </w:r>
      <w:r w:rsidRPr="005E2F84">
        <w:rPr>
          <w:rFonts w:asciiTheme="minorHAnsi" w:eastAsia="Arial" w:hAnsiTheme="minorHAnsi" w:cs="Arial"/>
          <w:i/>
          <w:iCs/>
          <w:color w:val="385623" w:themeColor="accent6" w:themeShade="80"/>
          <w:sz w:val="20"/>
          <w:szCs w:val="22"/>
        </w:rPr>
        <w:t xml:space="preserve"> EAFO</w:t>
      </w:r>
      <w:r w:rsidR="00144801" w:rsidRPr="005E2F84">
        <w:rPr>
          <w:rFonts w:asciiTheme="minorHAnsi" w:eastAsia="Arial" w:hAnsiTheme="minorHAnsi" w:cs="Arial"/>
          <w:i/>
          <w:iCs/>
          <w:color w:val="385623" w:themeColor="accent6" w:themeShade="80"/>
          <w:sz w:val="20"/>
          <w:szCs w:val="22"/>
        </w:rPr>
        <w:t>)</w:t>
      </w:r>
    </w:p>
    <w:p w14:paraId="0F347889" w14:textId="27224C07" w:rsidR="00BC0572" w:rsidRPr="00B07D79" w:rsidRDefault="00BC0572" w:rsidP="00B07D79">
      <w:pPr>
        <w:spacing w:line="276" w:lineRule="auto"/>
        <w:jc w:val="both"/>
        <w:rPr>
          <w:rFonts w:asciiTheme="minorHAnsi" w:hAnsiTheme="minorHAnsi"/>
        </w:rPr>
      </w:pPr>
      <w:r w:rsidRPr="00B07D79">
        <w:rPr>
          <w:rFonts w:asciiTheme="minorHAnsi" w:hAnsiTheme="minorHAnsi"/>
        </w:rPr>
        <w:t xml:space="preserve">V </w:t>
      </w:r>
      <w:r w:rsidR="00292BD6" w:rsidRPr="00B07D79">
        <w:rPr>
          <w:rFonts w:asciiTheme="minorHAnsi" w:hAnsiTheme="minorHAnsi"/>
        </w:rPr>
        <w:t>ČR</w:t>
      </w:r>
      <w:r w:rsidRPr="00B07D79">
        <w:rPr>
          <w:rFonts w:asciiTheme="minorHAnsi" w:hAnsiTheme="minorHAnsi"/>
        </w:rPr>
        <w:t xml:space="preserve"> mírně převažují DC stanice s</w:t>
      </w:r>
      <w:r w:rsidR="00CF2351" w:rsidRPr="00B07D79">
        <w:rPr>
          <w:rFonts w:asciiTheme="minorHAnsi" w:hAnsiTheme="minorHAnsi"/>
        </w:rPr>
        <w:t> </w:t>
      </w:r>
      <w:r w:rsidRPr="00B07D79">
        <w:rPr>
          <w:rFonts w:asciiTheme="minorHAnsi" w:hAnsiTheme="minorHAnsi"/>
        </w:rPr>
        <w:t>dobíjecím výkonem do 100 kW, kterých</w:t>
      </w:r>
      <w:r w:rsidR="008126E4" w:rsidRPr="00B07D79">
        <w:rPr>
          <w:rFonts w:asciiTheme="minorHAnsi" w:hAnsiTheme="minorHAnsi"/>
        </w:rPr>
        <w:t> </w:t>
      </w:r>
      <w:r w:rsidRPr="00B07D79">
        <w:rPr>
          <w:rFonts w:asciiTheme="minorHAnsi" w:hAnsiTheme="minorHAnsi"/>
        </w:rPr>
        <w:t>je</w:t>
      </w:r>
      <w:r w:rsidR="008126E4" w:rsidRPr="00B07D79">
        <w:rPr>
          <w:rFonts w:asciiTheme="minorHAnsi" w:hAnsiTheme="minorHAnsi"/>
        </w:rPr>
        <w:t> </w:t>
      </w:r>
      <w:r w:rsidRPr="00B07D79">
        <w:rPr>
          <w:rFonts w:asciiTheme="minorHAnsi" w:hAnsiTheme="minorHAnsi"/>
        </w:rPr>
        <w:t>50</w:t>
      </w:r>
      <w:r w:rsidR="008126E4" w:rsidRPr="00B07D79">
        <w:rPr>
          <w:rFonts w:asciiTheme="minorHAnsi" w:hAnsiTheme="minorHAnsi"/>
        </w:rPr>
        <w:t> </w:t>
      </w:r>
      <w:r w:rsidRPr="00B07D79">
        <w:rPr>
          <w:rFonts w:asciiTheme="minorHAnsi" w:hAnsiTheme="minorHAnsi"/>
        </w:rPr>
        <w:t>%, dále AC dobíjecí stanice s</w:t>
      </w:r>
      <w:r w:rsidR="00CF2351" w:rsidRPr="00B07D79">
        <w:rPr>
          <w:rFonts w:asciiTheme="minorHAnsi" w:hAnsiTheme="minorHAnsi"/>
        </w:rPr>
        <w:t> </w:t>
      </w:r>
      <w:r w:rsidRPr="00B07D79">
        <w:rPr>
          <w:rFonts w:asciiTheme="minorHAnsi" w:hAnsiTheme="minorHAnsi"/>
        </w:rPr>
        <w:t>výkonem do 22 kW jsou zastoupené v</w:t>
      </w:r>
      <w:r w:rsidR="00CF2351" w:rsidRPr="00B07D79">
        <w:rPr>
          <w:rFonts w:asciiTheme="minorHAnsi" w:hAnsiTheme="minorHAnsi"/>
        </w:rPr>
        <w:t> </w:t>
      </w:r>
      <w:r w:rsidRPr="00B07D79">
        <w:rPr>
          <w:rFonts w:asciiTheme="minorHAnsi" w:hAnsiTheme="minorHAnsi"/>
        </w:rPr>
        <w:t>43 % a</w:t>
      </w:r>
      <w:r w:rsidR="00CF2351" w:rsidRPr="00B07D79">
        <w:rPr>
          <w:rFonts w:asciiTheme="minorHAnsi" w:hAnsiTheme="minorHAnsi"/>
        </w:rPr>
        <w:t> </w:t>
      </w:r>
      <w:r w:rsidRPr="00B07D79">
        <w:rPr>
          <w:rFonts w:asciiTheme="minorHAnsi" w:hAnsiTheme="minorHAnsi"/>
        </w:rPr>
        <w:t>zbytek připadá na</w:t>
      </w:r>
      <w:r w:rsidR="00292BD6" w:rsidRPr="00B07D79">
        <w:rPr>
          <w:rFonts w:asciiTheme="minorHAnsi" w:hAnsiTheme="minorHAnsi"/>
        </w:rPr>
        <w:t> </w:t>
      </w:r>
      <w:r w:rsidRPr="00B07D79">
        <w:rPr>
          <w:rFonts w:asciiTheme="minorHAnsi" w:hAnsiTheme="minorHAnsi"/>
        </w:rPr>
        <w:t>tzv.</w:t>
      </w:r>
      <w:r w:rsidR="00292BD6" w:rsidRPr="00B07D79">
        <w:rPr>
          <w:rFonts w:asciiTheme="minorHAnsi" w:hAnsiTheme="minorHAnsi"/>
        </w:rPr>
        <w:t> </w:t>
      </w:r>
      <w:r w:rsidRPr="00B07D79">
        <w:rPr>
          <w:rFonts w:asciiTheme="minorHAnsi" w:hAnsiTheme="minorHAnsi"/>
        </w:rPr>
        <w:t>ultrarychlé dobíjecí stanice s</w:t>
      </w:r>
      <w:r w:rsidR="00CF2351" w:rsidRPr="00B07D79">
        <w:rPr>
          <w:rFonts w:asciiTheme="minorHAnsi" w:hAnsiTheme="minorHAnsi"/>
        </w:rPr>
        <w:t> </w:t>
      </w:r>
      <w:r w:rsidRPr="00B07D79">
        <w:rPr>
          <w:rFonts w:asciiTheme="minorHAnsi" w:hAnsiTheme="minorHAnsi"/>
        </w:rPr>
        <w:t>výkonem 100 kW a</w:t>
      </w:r>
      <w:r w:rsidR="00CF2351" w:rsidRPr="00B07D79">
        <w:rPr>
          <w:rFonts w:asciiTheme="minorHAnsi" w:hAnsiTheme="minorHAnsi"/>
        </w:rPr>
        <w:t> </w:t>
      </w:r>
      <w:r w:rsidRPr="00B07D79">
        <w:rPr>
          <w:rFonts w:asciiTheme="minorHAnsi" w:hAnsiTheme="minorHAnsi"/>
        </w:rPr>
        <w:t>více.</w:t>
      </w:r>
    </w:p>
    <w:p w14:paraId="6B00E1C7" w14:textId="6271ACEA" w:rsidR="00BC0572" w:rsidRPr="009D0E24" w:rsidRDefault="00B81129" w:rsidP="0074122A">
      <w:pPr>
        <w:pStyle w:val="Nadpis2"/>
        <w:rPr>
          <w:rFonts w:eastAsia="Arial"/>
          <w:sz w:val="32"/>
          <w:szCs w:val="36"/>
        </w:rPr>
      </w:pPr>
      <w:bookmarkStart w:id="247" w:name="_Toc159332169"/>
      <w:bookmarkStart w:id="248" w:name="_Toc159336650"/>
      <w:bookmarkStart w:id="249" w:name="_Toc160021753"/>
      <w:bookmarkStart w:id="250" w:name="_Toc162447443"/>
      <w:bookmarkStart w:id="251" w:name="_Toc173240078"/>
      <w:r w:rsidRPr="009D0E24">
        <w:rPr>
          <w:sz w:val="32"/>
          <w:szCs w:val="36"/>
        </w:rPr>
        <w:t xml:space="preserve">Dobíjecí </w:t>
      </w:r>
      <w:r w:rsidR="0097152B" w:rsidRPr="009D0E24">
        <w:rPr>
          <w:sz w:val="32"/>
          <w:szCs w:val="36"/>
        </w:rPr>
        <w:t xml:space="preserve">stanice – </w:t>
      </w:r>
      <w:r w:rsidR="008126E4" w:rsidRPr="009D0E24">
        <w:rPr>
          <w:sz w:val="32"/>
          <w:szCs w:val="36"/>
        </w:rPr>
        <w:t>Č</w:t>
      </w:r>
      <w:r w:rsidR="0097152B" w:rsidRPr="009D0E24">
        <w:rPr>
          <w:sz w:val="32"/>
          <w:szCs w:val="36"/>
        </w:rPr>
        <w:t>eská</w:t>
      </w:r>
      <w:r w:rsidR="00BC0572" w:rsidRPr="009D0E24">
        <w:rPr>
          <w:sz w:val="32"/>
          <w:szCs w:val="36"/>
        </w:rPr>
        <w:t xml:space="preserve"> republika</w:t>
      </w:r>
      <w:bookmarkEnd w:id="247"/>
      <w:bookmarkEnd w:id="248"/>
      <w:bookmarkEnd w:id="249"/>
      <w:bookmarkEnd w:id="250"/>
      <w:bookmarkEnd w:id="251"/>
    </w:p>
    <w:p w14:paraId="2DB97D9F" w14:textId="22023AB7" w:rsidR="00BC0572" w:rsidRPr="00B07D79" w:rsidRDefault="00BC0572" w:rsidP="00B07D79">
      <w:pPr>
        <w:spacing w:line="276" w:lineRule="auto"/>
        <w:jc w:val="both"/>
        <w:rPr>
          <w:rFonts w:asciiTheme="minorHAnsi" w:hAnsiTheme="minorHAnsi"/>
        </w:rPr>
      </w:pPr>
      <w:r w:rsidRPr="00B07D79">
        <w:rPr>
          <w:rFonts w:asciiTheme="minorHAnsi" w:hAnsiTheme="minorHAnsi"/>
        </w:rPr>
        <w:t>V posledních letech se situace s</w:t>
      </w:r>
      <w:r w:rsidR="00CF2351" w:rsidRPr="00B07D79">
        <w:rPr>
          <w:rFonts w:asciiTheme="minorHAnsi" w:hAnsiTheme="minorHAnsi"/>
        </w:rPr>
        <w:t> </w:t>
      </w:r>
      <w:r w:rsidRPr="00B07D79">
        <w:rPr>
          <w:rFonts w:asciiTheme="minorHAnsi" w:hAnsiTheme="minorHAnsi"/>
        </w:rPr>
        <w:t>dobíjecí infrastrukturou pro elektromobily v</w:t>
      </w:r>
      <w:r w:rsidR="00CF2351" w:rsidRPr="00B07D79">
        <w:rPr>
          <w:rFonts w:asciiTheme="minorHAnsi" w:hAnsiTheme="minorHAnsi"/>
        </w:rPr>
        <w:t> </w:t>
      </w:r>
      <w:r w:rsidR="00292BD6" w:rsidRPr="00B07D79">
        <w:rPr>
          <w:rFonts w:asciiTheme="minorHAnsi" w:hAnsiTheme="minorHAnsi"/>
        </w:rPr>
        <w:t>ČR</w:t>
      </w:r>
      <w:r w:rsidRPr="00B07D79">
        <w:rPr>
          <w:rFonts w:asciiTheme="minorHAnsi" w:hAnsiTheme="minorHAnsi"/>
        </w:rPr>
        <w:t xml:space="preserve"> výrazně zlepšila. Díky podpoře Ministerstva dopravy v</w:t>
      </w:r>
      <w:r w:rsidR="00CF2351" w:rsidRPr="00B07D79">
        <w:rPr>
          <w:rFonts w:asciiTheme="minorHAnsi" w:hAnsiTheme="minorHAnsi"/>
        </w:rPr>
        <w:t> </w:t>
      </w:r>
      <w:r w:rsidR="00216A3A" w:rsidRPr="00B07D79">
        <w:rPr>
          <w:rFonts w:asciiTheme="minorHAnsi" w:hAnsiTheme="minorHAnsi"/>
        </w:rPr>
        <w:t>podprogramu</w:t>
      </w:r>
      <w:r w:rsidRPr="00B07D79">
        <w:rPr>
          <w:rFonts w:asciiTheme="minorHAnsi" w:hAnsiTheme="minorHAnsi"/>
        </w:rPr>
        <w:t xml:space="preserve"> dopravy (OPD) se</w:t>
      </w:r>
      <w:r w:rsidR="008126E4" w:rsidRPr="00B07D79">
        <w:rPr>
          <w:rFonts w:asciiTheme="minorHAnsi" w:hAnsiTheme="minorHAnsi"/>
        </w:rPr>
        <w:t> </w:t>
      </w:r>
      <w:r w:rsidRPr="00B07D79">
        <w:rPr>
          <w:rFonts w:asciiTheme="minorHAnsi" w:hAnsiTheme="minorHAnsi"/>
        </w:rPr>
        <w:t>realizovalo více než desítka projektů, ve kterých se instalovalo ve všech regionech České republiky téměř 2</w:t>
      </w:r>
      <w:r w:rsidR="00292BD6" w:rsidRPr="00B07D79">
        <w:rPr>
          <w:rFonts w:asciiTheme="minorHAnsi" w:hAnsiTheme="minorHAnsi"/>
        </w:rPr>
        <w:t> </w:t>
      </w:r>
      <w:r w:rsidRPr="00B07D79">
        <w:rPr>
          <w:rFonts w:asciiTheme="minorHAnsi" w:hAnsiTheme="minorHAnsi"/>
        </w:rPr>
        <w:t>000 veřejných dobíjecích bodů, které splňují nediskriminační požadavky a</w:t>
      </w:r>
      <w:r w:rsidR="00CF2351" w:rsidRPr="00B07D79">
        <w:rPr>
          <w:rFonts w:asciiTheme="minorHAnsi" w:hAnsiTheme="minorHAnsi"/>
        </w:rPr>
        <w:t> </w:t>
      </w:r>
      <w:r w:rsidRPr="00B07D79">
        <w:rPr>
          <w:rFonts w:asciiTheme="minorHAnsi" w:hAnsiTheme="minorHAnsi"/>
        </w:rPr>
        <w:t>může je tak využívat kdokoliv.</w:t>
      </w:r>
    </w:p>
    <w:p w14:paraId="5DCD2B20" w14:textId="26701706" w:rsidR="00BC0572" w:rsidRPr="00B07D79" w:rsidRDefault="00BC0572"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Podle zdrojových dat Ministerstva průmyslu a</w:t>
      </w:r>
      <w:r w:rsidR="00CF2351" w:rsidRPr="00B07D79">
        <w:rPr>
          <w:rFonts w:asciiTheme="minorHAnsi" w:eastAsia="Arial" w:hAnsiTheme="minorHAnsi" w:cs="Arial"/>
          <w:szCs w:val="22"/>
        </w:rPr>
        <w:t> </w:t>
      </w:r>
      <w:r w:rsidRPr="00B07D79">
        <w:rPr>
          <w:rFonts w:asciiTheme="minorHAnsi" w:eastAsia="Arial" w:hAnsiTheme="minorHAnsi" w:cs="Arial"/>
          <w:szCs w:val="22"/>
        </w:rPr>
        <w:t>obchodu bylo k</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31. </w:t>
      </w:r>
      <w:r w:rsidR="006F26F3" w:rsidRPr="00B07D79">
        <w:rPr>
          <w:rFonts w:asciiTheme="minorHAnsi" w:eastAsia="Arial" w:hAnsiTheme="minorHAnsi" w:cs="Arial"/>
          <w:szCs w:val="22"/>
        </w:rPr>
        <w:t>prosinc</w:t>
      </w:r>
      <w:r w:rsidR="00543428" w:rsidRPr="00B07D79">
        <w:rPr>
          <w:rFonts w:asciiTheme="minorHAnsi" w:eastAsia="Arial" w:hAnsiTheme="minorHAnsi" w:cs="Arial"/>
          <w:szCs w:val="22"/>
        </w:rPr>
        <w:t>i</w:t>
      </w:r>
      <w:r w:rsidRPr="00B07D79">
        <w:rPr>
          <w:rFonts w:asciiTheme="minorHAnsi" w:eastAsia="Arial" w:hAnsiTheme="minorHAnsi" w:cs="Arial"/>
          <w:szCs w:val="22"/>
        </w:rPr>
        <w:t xml:space="preserve"> 202</w:t>
      </w:r>
      <w:r w:rsidR="00F340DD" w:rsidRPr="00B07D79">
        <w:rPr>
          <w:rFonts w:asciiTheme="minorHAnsi" w:eastAsia="Arial" w:hAnsiTheme="minorHAnsi" w:cs="Arial"/>
          <w:szCs w:val="22"/>
        </w:rPr>
        <w:t>3</w:t>
      </w:r>
      <w:r w:rsidRPr="00B07D79">
        <w:rPr>
          <w:rFonts w:asciiTheme="minorHAnsi" w:eastAsia="Arial" w:hAnsiTheme="minorHAnsi" w:cs="Arial"/>
          <w:szCs w:val="22"/>
        </w:rPr>
        <w:t xml:space="preserve"> na</w:t>
      </w:r>
      <w:r w:rsidR="00F340DD" w:rsidRPr="00B07D79">
        <w:rPr>
          <w:rFonts w:asciiTheme="minorHAnsi" w:eastAsia="Arial" w:hAnsiTheme="minorHAnsi" w:cs="Arial"/>
          <w:szCs w:val="22"/>
        </w:rPr>
        <w:t xml:space="preserve"> 2</w:t>
      </w:r>
      <w:r w:rsidR="006F26F3" w:rsidRPr="00B07D79">
        <w:rPr>
          <w:rFonts w:asciiTheme="minorHAnsi" w:eastAsia="Arial" w:hAnsiTheme="minorHAnsi" w:cs="Arial"/>
          <w:szCs w:val="22"/>
        </w:rPr>
        <w:t> </w:t>
      </w:r>
      <w:r w:rsidR="00F340DD" w:rsidRPr="00B07D79">
        <w:rPr>
          <w:rFonts w:asciiTheme="minorHAnsi" w:eastAsia="Arial" w:hAnsiTheme="minorHAnsi" w:cs="Arial"/>
          <w:szCs w:val="22"/>
        </w:rPr>
        <w:t>287</w:t>
      </w:r>
      <w:r w:rsidR="006F26F3" w:rsidRPr="00B07D79">
        <w:rPr>
          <w:rFonts w:asciiTheme="minorHAnsi" w:eastAsia="Arial" w:hAnsiTheme="minorHAnsi" w:cs="Arial"/>
          <w:szCs w:val="22"/>
        </w:rPr>
        <w:t> </w:t>
      </w:r>
      <w:r w:rsidR="00F340DD" w:rsidRPr="00B07D79">
        <w:rPr>
          <w:rFonts w:asciiTheme="minorHAnsi" w:eastAsia="Arial" w:hAnsiTheme="minorHAnsi" w:cs="Arial"/>
          <w:szCs w:val="22"/>
        </w:rPr>
        <w:t xml:space="preserve">celkem </w:t>
      </w:r>
      <w:r w:rsidRPr="00B07D79">
        <w:rPr>
          <w:rFonts w:asciiTheme="minorHAnsi" w:eastAsia="Arial" w:hAnsiTheme="minorHAnsi" w:cs="Arial"/>
          <w:szCs w:val="22"/>
        </w:rPr>
        <w:t xml:space="preserve">veřejných dobíjecích stanicích evidováno </w:t>
      </w:r>
      <w:r w:rsidR="00F340DD" w:rsidRPr="00B07D79">
        <w:rPr>
          <w:rFonts w:asciiTheme="minorHAnsi" w:eastAsia="Arial" w:hAnsiTheme="minorHAnsi" w:cs="Arial"/>
          <w:szCs w:val="22"/>
        </w:rPr>
        <w:t>4 187</w:t>
      </w:r>
      <w:r w:rsidRPr="00B07D79">
        <w:rPr>
          <w:rFonts w:asciiTheme="minorHAnsi" w:eastAsia="Arial" w:hAnsiTheme="minorHAnsi" w:cs="Arial"/>
          <w:szCs w:val="22"/>
        </w:rPr>
        <w:t xml:space="preserve"> veřejných dobíjecích bodů. </w:t>
      </w:r>
      <w:r w:rsidRPr="00B07D79">
        <w:rPr>
          <w:rFonts w:asciiTheme="minorHAnsi" w:hAnsiTheme="minorHAnsi"/>
        </w:rPr>
        <w:t>Na trhu veřejných dobíjecích stanic dnes nalezneme 10 subjektů, které mají v</w:t>
      </w:r>
      <w:r w:rsidR="00CF2351" w:rsidRPr="00B07D79">
        <w:rPr>
          <w:rFonts w:asciiTheme="minorHAnsi" w:hAnsiTheme="minorHAnsi"/>
        </w:rPr>
        <w:t> </w:t>
      </w:r>
      <w:r w:rsidRPr="00B07D79">
        <w:rPr>
          <w:rFonts w:asciiTheme="minorHAnsi" w:hAnsiTheme="minorHAnsi"/>
        </w:rPr>
        <w:t>provozu více dobíjecích stanic a</w:t>
      </w:r>
      <w:r w:rsidR="00CF2351" w:rsidRPr="00B07D79">
        <w:rPr>
          <w:rFonts w:asciiTheme="minorHAnsi" w:hAnsiTheme="minorHAnsi"/>
        </w:rPr>
        <w:t> </w:t>
      </w:r>
      <w:r w:rsidRPr="00B07D79">
        <w:rPr>
          <w:rFonts w:asciiTheme="minorHAnsi" w:hAnsiTheme="minorHAnsi"/>
        </w:rPr>
        <w:t>pak celou řadu malých poskytovatelů, kteří mají v</w:t>
      </w:r>
      <w:r w:rsidR="00CF2351" w:rsidRPr="00B07D79">
        <w:rPr>
          <w:rFonts w:asciiTheme="minorHAnsi" w:hAnsiTheme="minorHAnsi"/>
        </w:rPr>
        <w:t> </w:t>
      </w:r>
      <w:r w:rsidRPr="00B07D79">
        <w:rPr>
          <w:rFonts w:asciiTheme="minorHAnsi" w:hAnsiTheme="minorHAnsi"/>
        </w:rPr>
        <w:t>provozu například pouze jen jednu</w:t>
      </w:r>
      <w:r w:rsidRPr="00B07D79">
        <w:rPr>
          <w:rFonts w:asciiTheme="minorHAnsi" w:eastAsia="Arial" w:hAnsiTheme="minorHAnsi" w:cs="Arial"/>
          <w:szCs w:val="22"/>
        </w:rPr>
        <w:t>.</w:t>
      </w:r>
    </w:p>
    <w:p w14:paraId="464253B7" w14:textId="339D4D59"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Obrázek </w:t>
      </w:r>
      <w:r w:rsidR="003A7DBF" w:rsidRPr="005E2F84">
        <w:rPr>
          <w:rFonts w:asciiTheme="minorHAnsi" w:hAnsiTheme="minorHAnsi"/>
          <w:b w:val="0"/>
          <w:bCs w:val="0"/>
          <w:color w:val="385623" w:themeColor="accent6" w:themeShade="80"/>
        </w:rPr>
        <w:t xml:space="preserve">24 </w:t>
      </w:r>
      <w:r w:rsidRPr="005E2F84">
        <w:rPr>
          <w:rFonts w:asciiTheme="minorHAnsi" w:hAnsiTheme="minorHAnsi"/>
          <w:b w:val="0"/>
          <w:bCs w:val="0"/>
          <w:color w:val="385623" w:themeColor="accent6" w:themeShade="80"/>
        </w:rPr>
        <w:t>Veřejné dobíjecí stanice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body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 (kumulativně)</w:t>
      </w:r>
      <w:bookmarkStart w:id="252" w:name="_Hlk162444553"/>
      <w:r w:rsidR="009D43FA" w:rsidRPr="005E2F84">
        <w:rPr>
          <w:rFonts w:asciiTheme="minorHAnsi" w:hAnsiTheme="minorHAnsi"/>
          <w:b w:val="0"/>
          <w:bCs w:val="0"/>
          <w:color w:val="385623" w:themeColor="accent6" w:themeShade="80"/>
        </w:rPr>
        <w:t xml:space="preserve"> </w:t>
      </w:r>
      <w:bookmarkEnd w:id="252"/>
    </w:p>
    <w:p w14:paraId="79927E2D" w14:textId="483AFF02" w:rsidR="00BC0572" w:rsidRPr="00B07D79" w:rsidRDefault="00F340DD"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5C0D5810" wp14:editId="426217E2">
            <wp:extent cx="5760720" cy="2742565"/>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742565"/>
                    </a:xfrm>
                    <a:prstGeom prst="rect">
                      <a:avLst/>
                    </a:prstGeom>
                    <a:noFill/>
                    <a:ln>
                      <a:noFill/>
                    </a:ln>
                  </pic:spPr>
                </pic:pic>
              </a:graphicData>
            </a:graphic>
          </wp:inline>
        </w:drawing>
      </w:r>
    </w:p>
    <w:p w14:paraId="03FF775E" w14:textId="154CD2FC"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 xml:space="preserve">Zdroj: </w:t>
      </w:r>
      <w:r w:rsidR="00543438" w:rsidRPr="005E2F84">
        <w:rPr>
          <w:rFonts w:asciiTheme="minorHAnsi" w:eastAsia="Arial" w:hAnsiTheme="minorHAnsi" w:cs="Arial"/>
          <w:i/>
          <w:iCs/>
          <w:color w:val="385623" w:themeColor="accent6" w:themeShade="80"/>
          <w:sz w:val="20"/>
          <w:szCs w:val="20"/>
        </w:rPr>
        <w:t>www.cistadoprava.cz (CDV, MPO)</w:t>
      </w:r>
    </w:p>
    <w:p w14:paraId="7A92FDBA" w14:textId="730B6367"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25 </w:t>
      </w:r>
      <w:r w:rsidRPr="005E2F84">
        <w:rPr>
          <w:rFonts w:asciiTheme="minorHAnsi" w:hAnsiTheme="minorHAnsi"/>
          <w:b w:val="0"/>
          <w:bCs w:val="0"/>
          <w:color w:val="385623" w:themeColor="accent6" w:themeShade="80"/>
        </w:rPr>
        <w:t>Vývoj výstavby veřejných dobíjecích stanic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r w:rsidR="009D43FA" w:rsidRPr="005E2F84">
        <w:rPr>
          <w:rFonts w:asciiTheme="minorHAnsi" w:hAnsiTheme="minorHAnsi"/>
          <w:b w:val="0"/>
          <w:bCs w:val="0"/>
          <w:color w:val="385623" w:themeColor="accent6" w:themeShade="80"/>
        </w:rPr>
        <w:t xml:space="preserve"> </w:t>
      </w:r>
    </w:p>
    <w:p w14:paraId="4A47000B" w14:textId="0D8B622B" w:rsidR="00BC0572" w:rsidRPr="00B07D79" w:rsidRDefault="00303348"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3D79F6D8" wp14:editId="0AFF9E7B">
            <wp:extent cx="5753100" cy="2638425"/>
            <wp:effectExtent l="0" t="0" r="0" b="9525"/>
            <wp:docPr id="851113168" name="Obrázek 85111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3F90DE75" w14:textId="77777777" w:rsidR="00303348" w:rsidRPr="005E2F84" w:rsidRDefault="00303348"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Zdroj: www.cistadoprava.cz (CDV, MPO)</w:t>
      </w:r>
    </w:p>
    <w:p w14:paraId="7A343110" w14:textId="799075E5" w:rsidR="003D3E4F" w:rsidRPr="00B07D79" w:rsidRDefault="003D3E4F" w:rsidP="00B07D79">
      <w:pPr>
        <w:spacing w:line="276" w:lineRule="auto"/>
        <w:jc w:val="both"/>
        <w:rPr>
          <w:rFonts w:asciiTheme="minorHAnsi" w:eastAsia="Arial" w:hAnsiTheme="minorHAnsi" w:cs="Arial"/>
          <w:szCs w:val="22"/>
        </w:rPr>
      </w:pPr>
      <w:r w:rsidRPr="00B07D79">
        <w:rPr>
          <w:rFonts w:asciiTheme="minorHAnsi" w:eastAsia="Arial" w:hAnsiTheme="minorHAnsi" w:cs="Arial"/>
          <w:szCs w:val="22"/>
        </w:rPr>
        <w:t>Za poslední rok přibylo 709 bodů, tj. +17 %. Kumulativní vývoj v</w:t>
      </w:r>
      <w:r w:rsidR="00CF2351" w:rsidRPr="00B07D79">
        <w:rPr>
          <w:rFonts w:asciiTheme="minorHAnsi" w:eastAsia="Arial" w:hAnsiTheme="minorHAnsi" w:cs="Arial"/>
          <w:szCs w:val="22"/>
        </w:rPr>
        <w:t> </w:t>
      </w:r>
      <w:r w:rsidRPr="00B07D79">
        <w:rPr>
          <w:rFonts w:asciiTheme="minorHAnsi" w:eastAsia="Arial" w:hAnsiTheme="minorHAnsi" w:cs="Arial"/>
          <w:szCs w:val="22"/>
        </w:rPr>
        <w:t>jednotlivých letech je zřejmý z</w:t>
      </w:r>
      <w:r w:rsidR="00CF2351" w:rsidRPr="00B07D79">
        <w:rPr>
          <w:rFonts w:asciiTheme="minorHAnsi" w:eastAsia="Arial" w:hAnsiTheme="minorHAnsi" w:cs="Arial"/>
          <w:szCs w:val="22"/>
        </w:rPr>
        <w:t> </w:t>
      </w:r>
      <w:r w:rsidRPr="00B07D79">
        <w:rPr>
          <w:rFonts w:asciiTheme="minorHAnsi" w:eastAsia="Arial" w:hAnsiTheme="minorHAnsi" w:cs="Arial"/>
          <w:szCs w:val="22"/>
        </w:rPr>
        <w:t>uvedeného grafu. V</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roce 20230 se dokončovaly projekty posledních výzev OPD. </w:t>
      </w:r>
    </w:p>
    <w:p w14:paraId="37223FE3" w14:textId="34EDABCB" w:rsidR="00BC0572" w:rsidRPr="00B07D79" w:rsidRDefault="00292BD6" w:rsidP="00B07D79">
      <w:pPr>
        <w:spacing w:line="276" w:lineRule="auto"/>
        <w:jc w:val="both"/>
        <w:rPr>
          <w:rFonts w:asciiTheme="minorHAnsi" w:hAnsiTheme="minorHAnsi"/>
        </w:rPr>
      </w:pPr>
      <w:r w:rsidRPr="00B07D79">
        <w:rPr>
          <w:rFonts w:asciiTheme="minorHAnsi" w:hAnsiTheme="minorHAnsi"/>
        </w:rPr>
        <w:t>ČR</w:t>
      </w:r>
      <w:r w:rsidR="00BC0572" w:rsidRPr="00B07D79">
        <w:rPr>
          <w:rFonts w:asciiTheme="minorHAnsi" w:hAnsiTheme="minorHAnsi"/>
        </w:rPr>
        <w:t xml:space="preserve"> je aktuálně pokryta relativně rovnoměrně. Hlavním zdrojem rovnoměrného pokrytí je</w:t>
      </w:r>
      <w:r w:rsidRPr="00B07D79">
        <w:rPr>
          <w:rFonts w:asciiTheme="minorHAnsi" w:hAnsiTheme="minorHAnsi"/>
        </w:rPr>
        <w:t> </w:t>
      </w:r>
      <w:r w:rsidR="00BC0572" w:rsidRPr="00B07D79">
        <w:rPr>
          <w:rFonts w:asciiTheme="minorHAnsi" w:hAnsiTheme="minorHAnsi"/>
        </w:rPr>
        <w:t>nastavení kritérií v</w:t>
      </w:r>
      <w:r w:rsidR="00CF2351" w:rsidRPr="00B07D79">
        <w:rPr>
          <w:rFonts w:asciiTheme="minorHAnsi" w:hAnsiTheme="minorHAnsi"/>
        </w:rPr>
        <w:t> </w:t>
      </w:r>
      <w:r w:rsidR="00BC0572" w:rsidRPr="00B07D79">
        <w:rPr>
          <w:rFonts w:asciiTheme="minorHAnsi" w:hAnsiTheme="minorHAnsi"/>
        </w:rPr>
        <w:t>dotačním programu OPD pro výstavbu páteřní sítě rychlodobíjecích stanic, kde příjemci podpory museli dobíjecí síť budovat ve všech regionech v</w:t>
      </w:r>
      <w:r w:rsidR="00CF2351" w:rsidRPr="00B07D79">
        <w:rPr>
          <w:rFonts w:asciiTheme="minorHAnsi" w:hAnsiTheme="minorHAnsi"/>
        </w:rPr>
        <w:t> </w:t>
      </w:r>
      <w:r w:rsidR="00BC0572" w:rsidRPr="00B07D79">
        <w:rPr>
          <w:rFonts w:asciiTheme="minorHAnsi" w:hAnsiTheme="minorHAnsi"/>
        </w:rPr>
        <w:t>ČR. Vyšší koncentraci dobíjecích stanic můžeme pozorovat ve větších aglomeracích, kde je i</w:t>
      </w:r>
      <w:r w:rsidR="00CF2351" w:rsidRPr="00B07D79">
        <w:rPr>
          <w:rFonts w:asciiTheme="minorHAnsi" w:hAnsiTheme="minorHAnsi"/>
        </w:rPr>
        <w:t> </w:t>
      </w:r>
      <w:r w:rsidR="00BC0572" w:rsidRPr="00B07D79">
        <w:rPr>
          <w:rFonts w:asciiTheme="minorHAnsi" w:hAnsiTheme="minorHAnsi"/>
        </w:rPr>
        <w:t>vyšší kupní síla. V</w:t>
      </w:r>
      <w:r w:rsidR="00CF2351" w:rsidRPr="00B07D79">
        <w:rPr>
          <w:rFonts w:asciiTheme="minorHAnsi" w:hAnsiTheme="minorHAnsi"/>
        </w:rPr>
        <w:t> </w:t>
      </w:r>
      <w:r w:rsidR="00BC0572" w:rsidRPr="00B07D79">
        <w:rPr>
          <w:rFonts w:asciiTheme="minorHAnsi" w:hAnsiTheme="minorHAnsi"/>
        </w:rPr>
        <w:t>praxi je tak nejvíce stanic dostupných v</w:t>
      </w:r>
      <w:r w:rsidR="00CF2351" w:rsidRPr="00B07D79">
        <w:rPr>
          <w:rFonts w:asciiTheme="minorHAnsi" w:hAnsiTheme="minorHAnsi"/>
        </w:rPr>
        <w:t> </w:t>
      </w:r>
      <w:r w:rsidR="00BC0572" w:rsidRPr="00B07D79">
        <w:rPr>
          <w:rFonts w:asciiTheme="minorHAnsi" w:hAnsiTheme="minorHAnsi"/>
        </w:rPr>
        <w:t>Praze, Brně a</w:t>
      </w:r>
      <w:r w:rsidR="00CF2351" w:rsidRPr="00B07D79">
        <w:rPr>
          <w:rFonts w:asciiTheme="minorHAnsi" w:hAnsiTheme="minorHAnsi"/>
        </w:rPr>
        <w:t> </w:t>
      </w:r>
      <w:r w:rsidR="00BC0572" w:rsidRPr="00B07D79">
        <w:rPr>
          <w:rFonts w:asciiTheme="minorHAnsi" w:hAnsiTheme="minorHAnsi"/>
        </w:rPr>
        <w:t>Ostravě. I</w:t>
      </w:r>
      <w:r w:rsidR="00CF2351" w:rsidRPr="00B07D79">
        <w:rPr>
          <w:rFonts w:asciiTheme="minorHAnsi" w:hAnsiTheme="minorHAnsi"/>
        </w:rPr>
        <w:t> </w:t>
      </w:r>
      <w:r w:rsidR="00BC0572" w:rsidRPr="00B07D79">
        <w:rPr>
          <w:rFonts w:asciiTheme="minorHAnsi" w:hAnsiTheme="minorHAnsi"/>
        </w:rPr>
        <w:t>přes intenzivní rozvoj v</w:t>
      </w:r>
      <w:r w:rsidR="00CF2351" w:rsidRPr="00B07D79">
        <w:rPr>
          <w:rFonts w:asciiTheme="minorHAnsi" w:hAnsiTheme="minorHAnsi"/>
        </w:rPr>
        <w:t> </w:t>
      </w:r>
      <w:r w:rsidR="00BC0572" w:rsidRPr="00B07D79">
        <w:rPr>
          <w:rFonts w:asciiTheme="minorHAnsi" w:hAnsiTheme="minorHAnsi"/>
        </w:rPr>
        <w:t xml:space="preserve">posledních letech nicméně zůstávají </w:t>
      </w:r>
      <w:r w:rsidR="00BC0572" w:rsidRPr="00B07D79">
        <w:rPr>
          <w:rFonts w:asciiTheme="minorHAnsi" w:hAnsiTheme="minorHAnsi"/>
        </w:rPr>
        <w:lastRenderedPageBreak/>
        <w:t>oblasti, které jsou z</w:t>
      </w:r>
      <w:r w:rsidR="00CF2351" w:rsidRPr="00B07D79">
        <w:rPr>
          <w:rFonts w:asciiTheme="minorHAnsi" w:hAnsiTheme="minorHAnsi"/>
        </w:rPr>
        <w:t> </w:t>
      </w:r>
      <w:r w:rsidR="00BC0572" w:rsidRPr="00B07D79">
        <w:rPr>
          <w:rFonts w:asciiTheme="minorHAnsi" w:hAnsiTheme="minorHAnsi"/>
        </w:rPr>
        <w:t xml:space="preserve">hlediska infrastruktury nedostatečně pokryté (viz vytipované </w:t>
      </w:r>
      <w:r w:rsidR="00BC0572" w:rsidRPr="00B07D79">
        <w:rPr>
          <w:rFonts w:asciiTheme="minorHAnsi" w:eastAsia="Arial" w:hAnsiTheme="minorHAnsi" w:cs="Arial"/>
          <w:szCs w:val="22"/>
        </w:rPr>
        <w:t xml:space="preserve">lokality pro umístění nových veřejných dobíjecích stanic na obrázku </w:t>
      </w:r>
      <w:r w:rsidR="00BC0572" w:rsidRPr="00B07D79">
        <w:rPr>
          <w:rFonts w:asciiTheme="minorHAnsi" w:hAnsiTheme="minorHAnsi"/>
        </w:rPr>
        <w:t xml:space="preserve">21). </w:t>
      </w:r>
    </w:p>
    <w:p w14:paraId="37F9C307" w14:textId="14F890A2" w:rsidR="00BC0572" w:rsidRPr="00B07D79" w:rsidRDefault="00BC0572" w:rsidP="00B07D79">
      <w:pPr>
        <w:spacing w:line="276" w:lineRule="auto"/>
        <w:jc w:val="both"/>
        <w:rPr>
          <w:rFonts w:asciiTheme="minorHAnsi" w:hAnsiTheme="minorHAnsi"/>
        </w:rPr>
      </w:pPr>
      <w:r w:rsidRPr="00B07D79">
        <w:rPr>
          <w:rFonts w:asciiTheme="minorHAnsi" w:hAnsiTheme="minorHAnsi"/>
        </w:rPr>
        <w:t>Pokud jde o</w:t>
      </w:r>
      <w:r w:rsidR="00CF2351" w:rsidRPr="00B07D79">
        <w:rPr>
          <w:rFonts w:asciiTheme="minorHAnsi" w:hAnsiTheme="minorHAnsi"/>
        </w:rPr>
        <w:t> </w:t>
      </w:r>
      <w:r w:rsidRPr="00B07D79">
        <w:rPr>
          <w:rFonts w:asciiTheme="minorHAnsi" w:hAnsiTheme="minorHAnsi"/>
        </w:rPr>
        <w:t>pokrytí sítě TEN-T, nejlépe pokrytá dobíjecími stanicemi je dálnice D1, následovaná dálnicemi D5 a</w:t>
      </w:r>
      <w:r w:rsidR="00CF2351" w:rsidRPr="00B07D79">
        <w:rPr>
          <w:rFonts w:asciiTheme="minorHAnsi" w:hAnsiTheme="minorHAnsi"/>
        </w:rPr>
        <w:t> </w:t>
      </w:r>
      <w:r w:rsidRPr="00B07D79">
        <w:rPr>
          <w:rFonts w:asciiTheme="minorHAnsi" w:hAnsiTheme="minorHAnsi"/>
        </w:rPr>
        <w:t xml:space="preserve">D8, což jsou všechno komunikace patřící do hlavní sítě TEN-T. Naopak mezi relativně hůře pokryté komunikace sítě TEN-T patří dálnice D11, která rovněž spadá do hlavní sítě TEN-T. </w:t>
      </w:r>
    </w:p>
    <w:p w14:paraId="03BBBC0A" w14:textId="43ECAB1A"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26 </w:t>
      </w:r>
      <w:r w:rsidRPr="005E2F84">
        <w:rPr>
          <w:rFonts w:asciiTheme="minorHAnsi" w:hAnsiTheme="minorHAnsi"/>
          <w:b w:val="0"/>
          <w:bCs w:val="0"/>
          <w:color w:val="385623" w:themeColor="accent6" w:themeShade="80"/>
        </w:rPr>
        <w:t>Lokalizace veřejných dobíjecích stanice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r w:rsidR="009D43FA" w:rsidRPr="005E2F84">
        <w:rPr>
          <w:rFonts w:asciiTheme="minorHAnsi" w:hAnsiTheme="minorHAnsi"/>
          <w:b w:val="0"/>
          <w:bCs w:val="0"/>
          <w:color w:val="385623" w:themeColor="accent6" w:themeShade="80"/>
        </w:rPr>
        <w:t xml:space="preserve"> </w:t>
      </w:r>
      <w:r w:rsidR="003D3E4F" w:rsidRPr="005E2F84">
        <w:rPr>
          <w:rFonts w:asciiTheme="minorHAnsi" w:hAnsiTheme="minorHAnsi"/>
          <w:b w:val="0"/>
          <w:bCs w:val="0"/>
          <w:color w:val="385623" w:themeColor="accent6" w:themeShade="80"/>
        </w:rPr>
        <w:t xml:space="preserve"> </w:t>
      </w:r>
    </w:p>
    <w:p w14:paraId="54296C9A" w14:textId="0D1378CB" w:rsidR="00BC0572" w:rsidRPr="00B07D79" w:rsidRDefault="008D3A19" w:rsidP="00B07D79">
      <w:pPr>
        <w:spacing w:line="276" w:lineRule="auto"/>
        <w:jc w:val="both"/>
        <w:rPr>
          <w:rFonts w:asciiTheme="minorHAnsi" w:eastAsia="Arial" w:hAnsiTheme="minorHAnsi" w:cs="Arial"/>
          <w:szCs w:val="22"/>
        </w:rPr>
      </w:pPr>
      <w:r w:rsidRPr="00B07D79">
        <w:rPr>
          <w:rFonts w:asciiTheme="minorHAnsi" w:hAnsiTheme="minorHAnsi"/>
          <w:noProof/>
        </w:rPr>
        <w:drawing>
          <wp:inline distT="0" distB="0" distL="0" distR="0" wp14:anchorId="4ECF0252" wp14:editId="7698D35C">
            <wp:extent cx="5760000" cy="2741520"/>
            <wp:effectExtent l="0" t="0" r="0" b="1905"/>
            <wp:docPr id="1160824294" name="Obrázek 1160824294"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4116" name="Obrázek 2" descr="Obsah obrázku mapa&#10;&#10;Popis byl vytvořen automaticky"/>
                    <pic:cNvPicPr/>
                  </pic:nvPicPr>
                  <pic:blipFill>
                    <a:blip r:embed="rId62"/>
                    <a:stretch>
                      <a:fillRect/>
                    </a:stretch>
                  </pic:blipFill>
                  <pic:spPr>
                    <a:xfrm>
                      <a:off x="0" y="0"/>
                      <a:ext cx="5760000" cy="2741520"/>
                    </a:xfrm>
                    <a:prstGeom prst="rect">
                      <a:avLst/>
                    </a:prstGeom>
                  </pic:spPr>
                </pic:pic>
              </a:graphicData>
            </a:graphic>
          </wp:inline>
        </w:drawing>
      </w:r>
    </w:p>
    <w:p w14:paraId="543826C9" w14:textId="3F0DCDDA"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 xml:space="preserve">Zdroj: </w:t>
      </w:r>
      <w:r w:rsidR="00543438" w:rsidRPr="005E2F84">
        <w:rPr>
          <w:rFonts w:asciiTheme="minorHAnsi" w:eastAsia="Arial" w:hAnsiTheme="minorHAnsi" w:cs="Arial"/>
          <w:i/>
          <w:iCs/>
          <w:color w:val="385623" w:themeColor="accent6" w:themeShade="80"/>
          <w:sz w:val="20"/>
          <w:szCs w:val="20"/>
        </w:rPr>
        <w:t>www.cistadoprava.cz (CDV, MPO)</w:t>
      </w:r>
    </w:p>
    <w:p w14:paraId="0934DADE" w14:textId="3261CBAA" w:rsidR="00BC0572" w:rsidRPr="00B07D79" w:rsidRDefault="00BC0572" w:rsidP="00B07D79">
      <w:pPr>
        <w:spacing w:line="276" w:lineRule="auto"/>
        <w:jc w:val="both"/>
        <w:rPr>
          <w:rFonts w:asciiTheme="minorHAnsi" w:hAnsiTheme="minorHAnsi"/>
        </w:rPr>
      </w:pPr>
      <w:r w:rsidRPr="00B07D79">
        <w:rPr>
          <w:rFonts w:asciiTheme="minorHAnsi" w:eastAsia="Arial" w:hAnsiTheme="minorHAnsi" w:cs="Arial"/>
          <w:szCs w:val="22"/>
        </w:rPr>
        <w:t>Nejvyšší počet veřejných dobíjecích bodů byl evidován v</w:t>
      </w:r>
      <w:r w:rsidR="00CF2351" w:rsidRPr="00B07D79">
        <w:rPr>
          <w:rFonts w:asciiTheme="minorHAnsi" w:eastAsia="Arial" w:hAnsiTheme="minorHAnsi" w:cs="Arial"/>
          <w:szCs w:val="22"/>
        </w:rPr>
        <w:t> </w:t>
      </w:r>
      <w:r w:rsidRPr="00B07D79">
        <w:rPr>
          <w:rFonts w:asciiTheme="minorHAnsi" w:eastAsia="Arial" w:hAnsiTheme="minorHAnsi" w:cs="Arial"/>
          <w:szCs w:val="22"/>
        </w:rPr>
        <w:t>hl. m. Praze (</w:t>
      </w:r>
      <w:r w:rsidR="0056255D" w:rsidRPr="00B07D79">
        <w:rPr>
          <w:rFonts w:asciiTheme="minorHAnsi" w:eastAsia="Arial" w:hAnsiTheme="minorHAnsi" w:cs="Arial"/>
          <w:szCs w:val="22"/>
        </w:rPr>
        <w:t>1129</w:t>
      </w:r>
      <w:r w:rsidRPr="00B07D79">
        <w:rPr>
          <w:rFonts w:asciiTheme="minorHAnsi" w:eastAsia="Arial" w:hAnsiTheme="minorHAnsi" w:cs="Arial"/>
          <w:szCs w:val="22"/>
        </w:rPr>
        <w:t>), následoval kraj Středočeský (</w:t>
      </w:r>
      <w:r w:rsidR="0056255D" w:rsidRPr="00B07D79">
        <w:rPr>
          <w:rFonts w:asciiTheme="minorHAnsi" w:eastAsia="Arial" w:hAnsiTheme="minorHAnsi" w:cs="Arial"/>
          <w:szCs w:val="22"/>
        </w:rPr>
        <w:t>650</w:t>
      </w:r>
      <w:r w:rsidRPr="00B07D79">
        <w:rPr>
          <w:rFonts w:asciiTheme="minorHAnsi" w:eastAsia="Arial" w:hAnsiTheme="minorHAnsi" w:cs="Arial"/>
          <w:szCs w:val="22"/>
        </w:rPr>
        <w:t>) a</w:t>
      </w:r>
      <w:r w:rsidR="00CF2351" w:rsidRPr="00B07D79">
        <w:rPr>
          <w:rFonts w:asciiTheme="minorHAnsi" w:eastAsia="Arial" w:hAnsiTheme="minorHAnsi" w:cs="Arial"/>
          <w:szCs w:val="22"/>
        </w:rPr>
        <w:t> </w:t>
      </w:r>
      <w:r w:rsidRPr="00B07D79">
        <w:rPr>
          <w:rFonts w:asciiTheme="minorHAnsi" w:eastAsia="Arial" w:hAnsiTheme="minorHAnsi" w:cs="Arial"/>
          <w:szCs w:val="22"/>
        </w:rPr>
        <w:t>Jihomoravský (</w:t>
      </w:r>
      <w:r w:rsidR="0056255D" w:rsidRPr="00B07D79">
        <w:rPr>
          <w:rFonts w:asciiTheme="minorHAnsi" w:eastAsia="Arial" w:hAnsiTheme="minorHAnsi" w:cs="Arial"/>
          <w:szCs w:val="22"/>
        </w:rPr>
        <w:t>488</w:t>
      </w:r>
      <w:r w:rsidRPr="00B07D79">
        <w:rPr>
          <w:rFonts w:asciiTheme="minorHAnsi" w:eastAsia="Arial" w:hAnsiTheme="minorHAnsi" w:cs="Arial"/>
          <w:szCs w:val="22"/>
        </w:rPr>
        <w:t>). Data z</w:t>
      </w:r>
      <w:r w:rsidR="00CF2351" w:rsidRPr="00B07D79">
        <w:rPr>
          <w:rFonts w:asciiTheme="minorHAnsi" w:eastAsia="Arial" w:hAnsiTheme="minorHAnsi" w:cs="Arial"/>
          <w:szCs w:val="22"/>
        </w:rPr>
        <w:t> </w:t>
      </w:r>
      <w:r w:rsidRPr="00B07D79">
        <w:rPr>
          <w:rFonts w:asciiTheme="minorHAnsi" w:eastAsia="Arial" w:hAnsiTheme="minorHAnsi" w:cs="Arial"/>
          <w:szCs w:val="22"/>
        </w:rPr>
        <w:t>ostatních krajů jsou zřejmá z</w:t>
      </w:r>
      <w:r w:rsidR="00CF2351" w:rsidRPr="00B07D79">
        <w:rPr>
          <w:rFonts w:asciiTheme="minorHAnsi" w:eastAsia="Arial" w:hAnsiTheme="minorHAnsi" w:cs="Arial"/>
          <w:szCs w:val="22"/>
        </w:rPr>
        <w:t> </w:t>
      </w:r>
      <w:r w:rsidRPr="00B07D79">
        <w:rPr>
          <w:rFonts w:asciiTheme="minorHAnsi" w:eastAsia="Arial" w:hAnsiTheme="minorHAnsi" w:cs="Arial"/>
          <w:szCs w:val="22"/>
        </w:rPr>
        <w:t>uvedeného grafu níže.</w:t>
      </w:r>
      <w:r w:rsidR="0056255D" w:rsidRPr="00B07D79">
        <w:rPr>
          <w:rFonts w:asciiTheme="minorHAnsi" w:eastAsia="Arial" w:hAnsiTheme="minorHAnsi" w:cs="Arial"/>
          <w:szCs w:val="22"/>
        </w:rPr>
        <w:t xml:space="preserve"> Počty stanic korelují s</w:t>
      </w:r>
      <w:r w:rsidR="00CF2351" w:rsidRPr="00B07D79">
        <w:rPr>
          <w:rFonts w:asciiTheme="minorHAnsi" w:eastAsia="Arial" w:hAnsiTheme="minorHAnsi" w:cs="Arial"/>
          <w:szCs w:val="22"/>
        </w:rPr>
        <w:t> </w:t>
      </w:r>
      <w:r w:rsidR="0056255D" w:rsidRPr="00B07D79">
        <w:rPr>
          <w:rFonts w:asciiTheme="minorHAnsi" w:eastAsia="Arial" w:hAnsiTheme="minorHAnsi" w:cs="Arial"/>
          <w:szCs w:val="22"/>
        </w:rPr>
        <w:t>i počty elektromobilů v</w:t>
      </w:r>
      <w:r w:rsidR="00CF2351" w:rsidRPr="00B07D79">
        <w:rPr>
          <w:rFonts w:asciiTheme="minorHAnsi" w:eastAsia="Arial" w:hAnsiTheme="minorHAnsi" w:cs="Arial"/>
          <w:szCs w:val="22"/>
        </w:rPr>
        <w:t> </w:t>
      </w:r>
      <w:r w:rsidR="0056255D" w:rsidRPr="00B07D79">
        <w:rPr>
          <w:rFonts w:asciiTheme="minorHAnsi" w:eastAsia="Arial" w:hAnsiTheme="minorHAnsi" w:cs="Arial"/>
          <w:szCs w:val="22"/>
        </w:rPr>
        <w:t xml:space="preserve">ČR. </w:t>
      </w:r>
    </w:p>
    <w:p w14:paraId="4BBD3510" w14:textId="0E901F9A"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27 </w:t>
      </w:r>
      <w:r w:rsidRPr="005E2F84">
        <w:rPr>
          <w:rFonts w:asciiTheme="minorHAnsi" w:hAnsiTheme="minorHAnsi"/>
          <w:b w:val="0"/>
          <w:bCs w:val="0"/>
          <w:color w:val="385623" w:themeColor="accent6" w:themeShade="80"/>
        </w:rPr>
        <w:t>Počet veřejných dobíjecích stanic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r w:rsidR="009D43FA" w:rsidRPr="005E2F84">
        <w:rPr>
          <w:rFonts w:asciiTheme="minorHAnsi" w:hAnsiTheme="minorHAnsi"/>
          <w:b w:val="0"/>
          <w:bCs w:val="0"/>
          <w:color w:val="385623" w:themeColor="accent6" w:themeShade="80"/>
        </w:rPr>
        <w:t xml:space="preserve"> </w:t>
      </w:r>
      <w:r w:rsidR="0056255D" w:rsidRPr="005E2F84">
        <w:rPr>
          <w:rFonts w:asciiTheme="minorHAnsi" w:hAnsiTheme="minorHAnsi"/>
          <w:b w:val="0"/>
          <w:bCs w:val="0"/>
          <w:color w:val="385623" w:themeColor="accent6" w:themeShade="80"/>
        </w:rPr>
        <w:t>k</w:t>
      </w:r>
      <w:r w:rsidR="00CF2351" w:rsidRPr="005E2F84">
        <w:rPr>
          <w:rFonts w:asciiTheme="minorHAnsi" w:hAnsiTheme="minorHAnsi"/>
          <w:b w:val="0"/>
          <w:bCs w:val="0"/>
          <w:color w:val="385623" w:themeColor="accent6" w:themeShade="80"/>
        </w:rPr>
        <w:t> </w:t>
      </w:r>
      <w:r w:rsidR="0056255D" w:rsidRPr="005E2F84">
        <w:rPr>
          <w:rFonts w:asciiTheme="minorHAnsi" w:hAnsiTheme="minorHAnsi"/>
          <w:b w:val="0"/>
          <w:bCs w:val="0"/>
          <w:color w:val="385623" w:themeColor="accent6" w:themeShade="80"/>
        </w:rPr>
        <w:t>30.9</w:t>
      </w:r>
      <w:r w:rsidR="00303348" w:rsidRPr="005E2F84">
        <w:rPr>
          <w:rFonts w:asciiTheme="minorHAnsi" w:hAnsiTheme="minorHAnsi"/>
          <w:b w:val="0"/>
          <w:bCs w:val="0"/>
          <w:color w:val="385623" w:themeColor="accent6" w:themeShade="80"/>
        </w:rPr>
        <w:t>.</w:t>
      </w:r>
      <w:r w:rsidR="0056255D" w:rsidRPr="005E2F84">
        <w:rPr>
          <w:rFonts w:asciiTheme="minorHAnsi" w:hAnsiTheme="minorHAnsi"/>
          <w:b w:val="0"/>
          <w:bCs w:val="0"/>
          <w:color w:val="385623" w:themeColor="accent6" w:themeShade="80"/>
        </w:rPr>
        <w:t>2023</w:t>
      </w:r>
      <w:r w:rsidR="00E93870" w:rsidRPr="005E2F84">
        <w:rPr>
          <w:rFonts w:asciiTheme="minorHAnsi" w:hAnsiTheme="minorHAnsi"/>
          <w:b w:val="0"/>
          <w:bCs w:val="0"/>
          <w:color w:val="385623" w:themeColor="accent6" w:themeShade="80"/>
        </w:rPr>
        <w:t xml:space="preserve"> </w:t>
      </w:r>
    </w:p>
    <w:p w14:paraId="34A98C6B" w14:textId="7FAB2E36" w:rsidR="00BC0572" w:rsidRPr="00B07D79" w:rsidRDefault="0056255D"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52956D7C" wp14:editId="36AA32E7">
            <wp:extent cx="5760720" cy="22161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216150"/>
                    </a:xfrm>
                    <a:prstGeom prst="rect">
                      <a:avLst/>
                    </a:prstGeom>
                    <a:noFill/>
                    <a:ln>
                      <a:noFill/>
                    </a:ln>
                  </pic:spPr>
                </pic:pic>
              </a:graphicData>
            </a:graphic>
          </wp:inline>
        </w:drawing>
      </w:r>
    </w:p>
    <w:p w14:paraId="677CA409" w14:textId="05998C13"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 xml:space="preserve">Zdroj: </w:t>
      </w:r>
      <w:r w:rsidR="00543438" w:rsidRPr="005E2F84">
        <w:rPr>
          <w:rFonts w:asciiTheme="minorHAnsi" w:eastAsia="Arial" w:hAnsiTheme="minorHAnsi" w:cs="Arial"/>
          <w:i/>
          <w:iCs/>
          <w:color w:val="385623" w:themeColor="accent6" w:themeShade="80"/>
          <w:sz w:val="20"/>
          <w:szCs w:val="20"/>
        </w:rPr>
        <w:t>www.cistadoprava.cz (CDV, MPO)</w:t>
      </w:r>
    </w:p>
    <w:p w14:paraId="33ADCBD5" w14:textId="41ED13D1" w:rsidR="00BC0572" w:rsidRPr="00B07D79" w:rsidRDefault="00BC0572" w:rsidP="00B07D79">
      <w:pPr>
        <w:spacing w:line="276" w:lineRule="auto"/>
        <w:jc w:val="both"/>
        <w:rPr>
          <w:rFonts w:asciiTheme="minorHAnsi" w:eastAsia="Arial" w:hAnsiTheme="minorHAnsi" w:cs="Arial"/>
          <w:szCs w:val="22"/>
        </w:rPr>
      </w:pPr>
      <w:r w:rsidRPr="00B07D79">
        <w:rPr>
          <w:rFonts w:asciiTheme="minorHAnsi" w:hAnsiTheme="minorHAnsi"/>
        </w:rPr>
        <w:lastRenderedPageBreak/>
        <w:t>V posledních letech realizovaly přední energetické společnosti, kterými jsou ČEZ, PRE a</w:t>
      </w:r>
      <w:r w:rsidR="00CF2351" w:rsidRPr="00B07D79">
        <w:rPr>
          <w:rFonts w:asciiTheme="minorHAnsi" w:hAnsiTheme="minorHAnsi"/>
        </w:rPr>
        <w:t> </w:t>
      </w:r>
      <w:r w:rsidRPr="00B07D79">
        <w:rPr>
          <w:rFonts w:asciiTheme="minorHAnsi" w:hAnsiTheme="minorHAnsi"/>
        </w:rPr>
        <w:t>E.ON, projekt sdílení infrastruktury, takzvaný roaming. Díky realizaci tohoto opatření došlo k</w:t>
      </w:r>
      <w:r w:rsidR="00CF2351" w:rsidRPr="00B07D79">
        <w:rPr>
          <w:rFonts w:asciiTheme="minorHAnsi" w:hAnsiTheme="minorHAnsi"/>
        </w:rPr>
        <w:t> </w:t>
      </w:r>
      <w:r w:rsidRPr="00B07D79">
        <w:rPr>
          <w:rFonts w:asciiTheme="minorHAnsi" w:hAnsiTheme="minorHAnsi"/>
        </w:rPr>
        <w:t>výraznému posunu na poli poskytování služeb elektromobility. V</w:t>
      </w:r>
      <w:r w:rsidR="00CF2351" w:rsidRPr="00B07D79">
        <w:rPr>
          <w:rFonts w:asciiTheme="minorHAnsi" w:hAnsiTheme="minorHAnsi"/>
        </w:rPr>
        <w:t> </w:t>
      </w:r>
      <w:r w:rsidRPr="00B07D79">
        <w:rPr>
          <w:rFonts w:asciiTheme="minorHAnsi" w:hAnsiTheme="minorHAnsi"/>
        </w:rPr>
        <w:t>praxi si tak uživatel elektromobilu vystačí s</w:t>
      </w:r>
      <w:r w:rsidR="00CF2351" w:rsidRPr="00B07D79">
        <w:rPr>
          <w:rFonts w:asciiTheme="minorHAnsi" w:hAnsiTheme="minorHAnsi"/>
        </w:rPr>
        <w:t> </w:t>
      </w:r>
      <w:r w:rsidRPr="00B07D79">
        <w:rPr>
          <w:rFonts w:asciiTheme="minorHAnsi" w:hAnsiTheme="minorHAnsi"/>
        </w:rPr>
        <w:t>jedinou kartou, kterou může nabíjet u</w:t>
      </w:r>
      <w:r w:rsidR="00CF2351" w:rsidRPr="00B07D79">
        <w:rPr>
          <w:rFonts w:asciiTheme="minorHAnsi" w:hAnsiTheme="minorHAnsi"/>
        </w:rPr>
        <w:t> </w:t>
      </w:r>
      <w:r w:rsidRPr="00B07D79">
        <w:rPr>
          <w:rFonts w:asciiTheme="minorHAnsi" w:hAnsiTheme="minorHAnsi"/>
        </w:rPr>
        <w:t>všech stanic hlavních poskytovatelů. Služba roamingu se rozvinula natolik, že od roku 2022 je možné s</w:t>
      </w:r>
      <w:r w:rsidR="00CF2351" w:rsidRPr="00B07D79">
        <w:rPr>
          <w:rFonts w:asciiTheme="minorHAnsi" w:hAnsiTheme="minorHAnsi"/>
        </w:rPr>
        <w:t> </w:t>
      </w:r>
      <w:r w:rsidRPr="00B07D79">
        <w:rPr>
          <w:rFonts w:asciiTheme="minorHAnsi" w:hAnsiTheme="minorHAnsi"/>
        </w:rPr>
        <w:t>účtem registrovaným v</w:t>
      </w:r>
      <w:r w:rsidR="00CF2351" w:rsidRPr="00B07D79">
        <w:rPr>
          <w:rFonts w:asciiTheme="minorHAnsi" w:hAnsiTheme="minorHAnsi"/>
        </w:rPr>
        <w:t> </w:t>
      </w:r>
      <w:r w:rsidRPr="00B07D79">
        <w:rPr>
          <w:rFonts w:asciiTheme="minorHAnsi" w:hAnsiTheme="minorHAnsi"/>
        </w:rPr>
        <w:t>ČR nabíjet i</w:t>
      </w:r>
      <w:r w:rsidR="00CF2351" w:rsidRPr="00B07D79">
        <w:rPr>
          <w:rFonts w:asciiTheme="minorHAnsi" w:hAnsiTheme="minorHAnsi"/>
        </w:rPr>
        <w:t> </w:t>
      </w:r>
      <w:r w:rsidRPr="00B07D79">
        <w:rPr>
          <w:rFonts w:asciiTheme="minorHAnsi" w:hAnsiTheme="minorHAnsi"/>
        </w:rPr>
        <w:t>v zahraniční bez nutnosti dalších administrativních překážek. Tato služba je důležitá i</w:t>
      </w:r>
      <w:r w:rsidR="00CF2351" w:rsidRPr="00B07D79">
        <w:rPr>
          <w:rFonts w:asciiTheme="minorHAnsi" w:hAnsiTheme="minorHAnsi"/>
        </w:rPr>
        <w:t> </w:t>
      </w:r>
      <w:r w:rsidRPr="00B07D79">
        <w:rPr>
          <w:rFonts w:asciiTheme="minorHAnsi" w:hAnsiTheme="minorHAnsi"/>
        </w:rPr>
        <w:t>pro zahraniční návštěvníky, kteří díky ní mohou v</w:t>
      </w:r>
      <w:r w:rsidR="00CF2351" w:rsidRPr="00B07D79">
        <w:rPr>
          <w:rFonts w:asciiTheme="minorHAnsi" w:hAnsiTheme="minorHAnsi"/>
        </w:rPr>
        <w:t> </w:t>
      </w:r>
      <w:r w:rsidRPr="00B07D79">
        <w:rPr>
          <w:rFonts w:asciiTheme="minorHAnsi" w:hAnsiTheme="minorHAnsi"/>
        </w:rPr>
        <w:t>ČR nabíjet se svým domácím účtem bez nutnosti složitých registrací. Jejich poskytovatel služby dobíjení jim následně vystaví doklad o</w:t>
      </w:r>
      <w:r w:rsidR="00CF2351" w:rsidRPr="00B07D79">
        <w:rPr>
          <w:rFonts w:asciiTheme="minorHAnsi" w:hAnsiTheme="minorHAnsi"/>
        </w:rPr>
        <w:t> </w:t>
      </w:r>
      <w:r w:rsidRPr="00B07D79">
        <w:rPr>
          <w:rFonts w:asciiTheme="minorHAnsi" w:hAnsiTheme="minorHAnsi"/>
        </w:rPr>
        <w:t>zahraničním dobíjení a</w:t>
      </w:r>
      <w:r w:rsidR="00CF2351" w:rsidRPr="00B07D79">
        <w:rPr>
          <w:rFonts w:asciiTheme="minorHAnsi" w:hAnsiTheme="minorHAnsi"/>
        </w:rPr>
        <w:t> </w:t>
      </w:r>
      <w:r w:rsidRPr="00B07D79">
        <w:rPr>
          <w:rFonts w:asciiTheme="minorHAnsi" w:hAnsiTheme="minorHAnsi"/>
        </w:rPr>
        <w:t>zákazník má veškeré náklady pod jedním účtem transparentně a</w:t>
      </w:r>
      <w:r w:rsidR="00CF2351" w:rsidRPr="00B07D79">
        <w:rPr>
          <w:rFonts w:asciiTheme="minorHAnsi" w:hAnsiTheme="minorHAnsi"/>
        </w:rPr>
        <w:t> </w:t>
      </w:r>
      <w:r w:rsidRPr="00B07D79">
        <w:rPr>
          <w:rFonts w:asciiTheme="minorHAnsi" w:hAnsiTheme="minorHAnsi"/>
        </w:rPr>
        <w:t>přehledně.</w:t>
      </w:r>
    </w:p>
    <w:p w14:paraId="2D7166B3" w14:textId="4362CABE" w:rsidR="00BC0572" w:rsidRPr="00B07D79" w:rsidRDefault="00BC0572" w:rsidP="00B07D79">
      <w:pPr>
        <w:spacing w:line="276" w:lineRule="auto"/>
        <w:jc w:val="both"/>
        <w:rPr>
          <w:rFonts w:asciiTheme="minorHAnsi" w:hAnsiTheme="minorHAnsi"/>
        </w:rPr>
      </w:pPr>
      <w:r w:rsidRPr="00B07D79">
        <w:rPr>
          <w:rFonts w:asciiTheme="minorHAnsi" w:eastAsia="Arial" w:hAnsiTheme="minorHAnsi" w:cs="Arial"/>
          <w:szCs w:val="22"/>
        </w:rPr>
        <w:t>Veřejnou dobíjecí infrastrukturu provozuje v</w:t>
      </w:r>
      <w:r w:rsidR="00CF2351" w:rsidRPr="00B07D79">
        <w:rPr>
          <w:rFonts w:asciiTheme="minorHAnsi" w:eastAsia="Arial" w:hAnsiTheme="minorHAnsi" w:cs="Arial"/>
          <w:szCs w:val="22"/>
        </w:rPr>
        <w:t> </w:t>
      </w:r>
      <w:r w:rsidR="00292BD6" w:rsidRPr="00B07D79">
        <w:rPr>
          <w:rFonts w:asciiTheme="minorHAnsi" w:eastAsia="Arial" w:hAnsiTheme="minorHAnsi" w:cs="Arial"/>
          <w:szCs w:val="22"/>
        </w:rPr>
        <w:t>ČR</w:t>
      </w:r>
      <w:r w:rsidRPr="00B07D79">
        <w:rPr>
          <w:rFonts w:asciiTheme="minorHAnsi" w:eastAsia="Arial" w:hAnsiTheme="minorHAnsi" w:cs="Arial"/>
          <w:szCs w:val="22"/>
        </w:rPr>
        <w:t xml:space="preserve"> několik desítek společností. Nejvýznamnější na tomto poli jsou bezesporu energetické skupiny (CEZ, PRE, E.ON), které</w:t>
      </w:r>
      <w:r w:rsidR="008126E4" w:rsidRPr="00B07D79">
        <w:rPr>
          <w:rFonts w:asciiTheme="minorHAnsi" w:eastAsia="Arial" w:hAnsiTheme="minorHAnsi" w:cs="Arial"/>
          <w:szCs w:val="22"/>
        </w:rPr>
        <w:t> </w:t>
      </w:r>
      <w:r w:rsidRPr="00B07D79">
        <w:rPr>
          <w:rFonts w:asciiTheme="minorHAnsi" w:eastAsia="Arial" w:hAnsiTheme="minorHAnsi" w:cs="Arial"/>
          <w:szCs w:val="22"/>
        </w:rPr>
        <w:t>v</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součtu provozují více než 62 % veřejných dobíjecích bodů. Mezi významnější společnosti co do počtu těchto bodů lze zařadit ŠKO-ENERGO, Lidl, ELEKTRO-PROJEKCE, Teplárny Brno, MOL, </w:t>
      </w:r>
      <w:proofErr w:type="spellStart"/>
      <w:r w:rsidRPr="00B07D79">
        <w:rPr>
          <w:rFonts w:asciiTheme="minorHAnsi" w:eastAsia="Arial" w:hAnsiTheme="minorHAnsi" w:cs="Arial"/>
          <w:szCs w:val="22"/>
        </w:rPr>
        <w:t>Olife</w:t>
      </w:r>
      <w:proofErr w:type="spellEnd"/>
      <w:r w:rsidRPr="00B07D79">
        <w:rPr>
          <w:rFonts w:asciiTheme="minorHAnsi" w:eastAsia="Arial" w:hAnsiTheme="minorHAnsi" w:cs="Arial"/>
          <w:szCs w:val="22"/>
        </w:rPr>
        <w:t xml:space="preserve"> a</w:t>
      </w:r>
      <w:r w:rsidR="00CF2351" w:rsidRPr="00B07D79">
        <w:rPr>
          <w:rFonts w:asciiTheme="minorHAnsi" w:eastAsia="Arial" w:hAnsiTheme="minorHAnsi" w:cs="Arial"/>
          <w:szCs w:val="22"/>
        </w:rPr>
        <w:t> </w:t>
      </w:r>
      <w:r w:rsidRPr="00B07D79">
        <w:rPr>
          <w:rFonts w:asciiTheme="minorHAnsi" w:eastAsia="Arial" w:hAnsiTheme="minorHAnsi" w:cs="Arial"/>
          <w:szCs w:val="22"/>
        </w:rPr>
        <w:t>Innogy.</w:t>
      </w:r>
    </w:p>
    <w:p w14:paraId="727D9CF8" w14:textId="58B40C85"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28 </w:t>
      </w:r>
      <w:r w:rsidRPr="005E2F84">
        <w:rPr>
          <w:rFonts w:asciiTheme="minorHAnsi" w:hAnsiTheme="minorHAnsi"/>
          <w:b w:val="0"/>
          <w:bCs w:val="0"/>
          <w:color w:val="385623" w:themeColor="accent6" w:themeShade="80"/>
        </w:rPr>
        <w:t>Top 10 největších provozovatelů dobíjecích stanic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 (dle počtu dobíjecích bodů)</w:t>
      </w:r>
      <w:r w:rsidR="009D43FA" w:rsidRPr="005E2F84">
        <w:rPr>
          <w:rFonts w:asciiTheme="minorHAnsi" w:hAnsiTheme="minorHAnsi"/>
          <w:b w:val="0"/>
          <w:bCs w:val="0"/>
          <w:color w:val="385623" w:themeColor="accent6" w:themeShade="80"/>
        </w:rPr>
        <w:t xml:space="preserve"> </w:t>
      </w:r>
      <w:r w:rsidR="00B20001" w:rsidRPr="005E2F84">
        <w:rPr>
          <w:rFonts w:asciiTheme="minorHAnsi" w:hAnsiTheme="minorHAnsi"/>
          <w:b w:val="0"/>
          <w:bCs w:val="0"/>
          <w:color w:val="385623" w:themeColor="accent6" w:themeShade="80"/>
        </w:rPr>
        <w:t>k</w:t>
      </w:r>
      <w:r w:rsidR="00CF2351" w:rsidRPr="005E2F84">
        <w:rPr>
          <w:rFonts w:asciiTheme="minorHAnsi" w:hAnsiTheme="minorHAnsi"/>
          <w:b w:val="0"/>
          <w:bCs w:val="0"/>
          <w:color w:val="385623" w:themeColor="accent6" w:themeShade="80"/>
        </w:rPr>
        <w:t> </w:t>
      </w:r>
      <w:r w:rsidR="00E93870" w:rsidRPr="005E2F84">
        <w:rPr>
          <w:rFonts w:asciiTheme="minorHAnsi" w:hAnsiTheme="minorHAnsi"/>
          <w:b w:val="0"/>
          <w:bCs w:val="0"/>
          <w:color w:val="385623" w:themeColor="accent6" w:themeShade="80"/>
        </w:rPr>
        <w:t>30</w:t>
      </w:r>
      <w:r w:rsidR="0056255D" w:rsidRPr="005E2F84">
        <w:rPr>
          <w:rFonts w:asciiTheme="minorHAnsi" w:hAnsiTheme="minorHAnsi"/>
          <w:b w:val="0"/>
          <w:bCs w:val="0"/>
          <w:color w:val="385623" w:themeColor="accent6" w:themeShade="80"/>
        </w:rPr>
        <w:t>.</w:t>
      </w:r>
      <w:r w:rsidR="003A7DBF" w:rsidRPr="005E2F84">
        <w:rPr>
          <w:rFonts w:asciiTheme="minorHAnsi" w:hAnsiTheme="minorHAnsi"/>
          <w:b w:val="0"/>
          <w:bCs w:val="0"/>
          <w:color w:val="385623" w:themeColor="accent6" w:themeShade="80"/>
        </w:rPr>
        <w:t xml:space="preserve"> září</w:t>
      </w:r>
      <w:r w:rsidR="00E93870" w:rsidRPr="005E2F84">
        <w:rPr>
          <w:rFonts w:asciiTheme="minorHAnsi" w:hAnsiTheme="minorHAnsi"/>
          <w:b w:val="0"/>
          <w:bCs w:val="0"/>
          <w:color w:val="385623" w:themeColor="accent6" w:themeShade="80"/>
        </w:rPr>
        <w:t>202</w:t>
      </w:r>
      <w:r w:rsidR="00303348" w:rsidRPr="005E2F84">
        <w:rPr>
          <w:rFonts w:asciiTheme="minorHAnsi" w:hAnsiTheme="minorHAnsi"/>
          <w:b w:val="0"/>
          <w:bCs w:val="0"/>
          <w:color w:val="385623" w:themeColor="accent6" w:themeShade="80"/>
        </w:rPr>
        <w:t>3</w:t>
      </w:r>
      <w:r w:rsidR="00E93870" w:rsidRPr="005E2F84">
        <w:rPr>
          <w:rFonts w:asciiTheme="minorHAnsi" w:hAnsiTheme="minorHAnsi"/>
          <w:b w:val="0"/>
          <w:bCs w:val="0"/>
          <w:color w:val="385623" w:themeColor="accent6" w:themeShade="80"/>
        </w:rPr>
        <w:t xml:space="preserve"> </w:t>
      </w:r>
    </w:p>
    <w:p w14:paraId="57FBBBEC" w14:textId="77777777" w:rsidR="00BC0572" w:rsidRPr="00B07D79" w:rsidRDefault="00BC0572" w:rsidP="00B07D79">
      <w:pPr>
        <w:spacing w:line="276" w:lineRule="auto"/>
        <w:jc w:val="both"/>
        <w:rPr>
          <w:rFonts w:asciiTheme="minorHAnsi" w:hAnsiTheme="minorHAnsi"/>
        </w:rPr>
      </w:pPr>
      <w:r w:rsidRPr="00B07D79">
        <w:rPr>
          <w:rFonts w:asciiTheme="minorHAnsi" w:hAnsiTheme="minorHAnsi"/>
          <w:noProof/>
          <w:color w:val="2B579A"/>
          <w:shd w:val="clear" w:color="auto" w:fill="E6E6E6"/>
        </w:rPr>
        <w:drawing>
          <wp:inline distT="0" distB="0" distL="0" distR="0" wp14:anchorId="77BC35CE" wp14:editId="0A690E35">
            <wp:extent cx="5760000" cy="3120000"/>
            <wp:effectExtent l="0" t="0" r="0" b="444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60000" cy="3120000"/>
                    </a:xfrm>
                    <a:prstGeom prst="rect">
                      <a:avLst/>
                    </a:prstGeom>
                  </pic:spPr>
                </pic:pic>
              </a:graphicData>
            </a:graphic>
          </wp:inline>
        </w:drawing>
      </w:r>
    </w:p>
    <w:p w14:paraId="6F6520E0" w14:textId="2EE6271E" w:rsidR="00BC0572" w:rsidRPr="005E2F84" w:rsidRDefault="00BC0572" w:rsidP="005E2F84">
      <w:pPr>
        <w:spacing w:line="276" w:lineRule="auto"/>
        <w:jc w:val="right"/>
        <w:rPr>
          <w:rFonts w:asciiTheme="minorHAnsi" w:eastAsia="Arial" w:hAnsiTheme="minorHAnsi" w:cs="Arial"/>
          <w:i/>
          <w:iCs/>
          <w:color w:val="385623" w:themeColor="accent6" w:themeShade="80"/>
          <w:sz w:val="20"/>
          <w:szCs w:val="20"/>
        </w:rPr>
      </w:pPr>
      <w:r w:rsidRPr="005E2F84">
        <w:rPr>
          <w:rFonts w:asciiTheme="minorHAnsi" w:eastAsia="Arial" w:hAnsiTheme="minorHAnsi" w:cs="Arial"/>
          <w:i/>
          <w:iCs/>
          <w:color w:val="385623" w:themeColor="accent6" w:themeShade="80"/>
          <w:sz w:val="20"/>
          <w:szCs w:val="20"/>
        </w:rPr>
        <w:t xml:space="preserve">Zdroj: </w:t>
      </w:r>
      <w:r w:rsidR="00543438" w:rsidRPr="005E2F84">
        <w:rPr>
          <w:rFonts w:asciiTheme="minorHAnsi" w:eastAsia="Arial" w:hAnsiTheme="minorHAnsi" w:cs="Arial"/>
          <w:i/>
          <w:iCs/>
          <w:color w:val="385623" w:themeColor="accent6" w:themeShade="80"/>
          <w:sz w:val="20"/>
          <w:szCs w:val="20"/>
        </w:rPr>
        <w:t>www.cistadoprava.cz (CDV, MPO)</w:t>
      </w:r>
    </w:p>
    <w:p w14:paraId="15AB30E8" w14:textId="4BB1E734" w:rsidR="00BC0572" w:rsidRPr="005E2F84" w:rsidRDefault="00BC0572" w:rsidP="00B07D79">
      <w:pPr>
        <w:spacing w:line="276" w:lineRule="auto"/>
        <w:jc w:val="both"/>
        <w:rPr>
          <w:rFonts w:asciiTheme="minorHAnsi" w:eastAsia="Arial" w:hAnsiTheme="minorHAnsi"/>
        </w:rPr>
      </w:pPr>
      <w:r w:rsidRPr="00B07D79">
        <w:rPr>
          <w:rFonts w:asciiTheme="minorHAnsi" w:eastAsia="Arial" w:hAnsiTheme="minorHAnsi"/>
        </w:rPr>
        <w:t>Provozovatelé dobíjecích stanic mají dle zákona povinnost přihlásit tyto stanice do evidence MPO. V</w:t>
      </w:r>
      <w:r w:rsidR="00CF2351" w:rsidRPr="00B07D79">
        <w:rPr>
          <w:rFonts w:asciiTheme="minorHAnsi" w:eastAsia="Arial" w:hAnsiTheme="minorHAnsi"/>
        </w:rPr>
        <w:t> </w:t>
      </w:r>
      <w:r w:rsidRPr="00B07D79">
        <w:rPr>
          <w:rFonts w:asciiTheme="minorHAnsi" w:eastAsia="Arial" w:hAnsiTheme="minorHAnsi"/>
        </w:rPr>
        <w:t xml:space="preserve">řadě případů se však děje se zpožděním, příp. </w:t>
      </w:r>
      <w:r w:rsidRPr="005E2F84">
        <w:rPr>
          <w:rFonts w:asciiTheme="minorHAnsi" w:eastAsia="Arial" w:hAnsiTheme="minorHAnsi"/>
        </w:rPr>
        <w:t>vůbec. A</w:t>
      </w:r>
      <w:r w:rsidR="00CF2351" w:rsidRPr="005E2F84">
        <w:rPr>
          <w:rFonts w:asciiTheme="minorHAnsi" w:eastAsia="Arial" w:hAnsiTheme="minorHAnsi"/>
        </w:rPr>
        <w:t> </w:t>
      </w:r>
      <w:r w:rsidRPr="005E2F84">
        <w:rPr>
          <w:rFonts w:asciiTheme="minorHAnsi" w:eastAsia="Arial" w:hAnsiTheme="minorHAnsi"/>
        </w:rPr>
        <w:t xml:space="preserve">tak je reálný počet veřejných dobíjecích bodů nepochybně vyšší. CDV ve své webové aplikaci </w:t>
      </w:r>
      <w:hyperlink r:id="rId65" w:history="1">
        <w:r w:rsidRPr="005E2F84">
          <w:rPr>
            <w:rStyle w:val="Hypertextovodkaz"/>
            <w:rFonts w:asciiTheme="minorHAnsi" w:eastAsia="Arial" w:hAnsiTheme="minorHAnsi" w:cs="Arial"/>
            <w:color w:val="auto"/>
            <w:szCs w:val="22"/>
            <w:u w:val="none"/>
          </w:rPr>
          <w:t>Optimalizace veřejné dobíjecí infrastruktury v</w:t>
        </w:r>
        <w:r w:rsidR="00CF2351" w:rsidRPr="005E2F84">
          <w:rPr>
            <w:rStyle w:val="Hypertextovodkaz"/>
            <w:rFonts w:asciiTheme="minorHAnsi" w:eastAsia="Arial" w:hAnsiTheme="minorHAnsi" w:cs="Arial"/>
            <w:color w:val="auto"/>
            <w:szCs w:val="22"/>
            <w:u w:val="none"/>
          </w:rPr>
          <w:t> </w:t>
        </w:r>
        <w:r w:rsidRPr="005E2F84">
          <w:rPr>
            <w:rStyle w:val="Hypertextovodkaz"/>
            <w:rFonts w:asciiTheme="minorHAnsi" w:eastAsia="Arial" w:hAnsiTheme="minorHAnsi" w:cs="Arial"/>
            <w:color w:val="auto"/>
            <w:szCs w:val="22"/>
            <w:u w:val="none"/>
          </w:rPr>
          <w:t>ČR</w:t>
        </w:r>
      </w:hyperlink>
      <w:r w:rsidRPr="005E2F84">
        <w:rPr>
          <w:rFonts w:asciiTheme="minorHAnsi" w:eastAsia="Arial" w:hAnsiTheme="minorHAnsi"/>
        </w:rPr>
        <w:t xml:space="preserve"> využívá data společnosti </w:t>
      </w:r>
      <w:proofErr w:type="spellStart"/>
      <w:r w:rsidRPr="005E2F84">
        <w:rPr>
          <w:rFonts w:asciiTheme="minorHAnsi" w:eastAsia="Arial" w:hAnsiTheme="minorHAnsi"/>
        </w:rPr>
        <w:t>Eco-Movement</w:t>
      </w:r>
      <w:proofErr w:type="spellEnd"/>
      <w:r w:rsidRPr="005E2F84">
        <w:rPr>
          <w:rFonts w:asciiTheme="minorHAnsi" w:eastAsia="Arial" w:hAnsiTheme="minorHAnsi"/>
        </w:rPr>
        <w:t xml:space="preserve"> B.V., která je reportuje Evropské komisi prostřednictvím EAFO. Podle těchto dat bylo k</w:t>
      </w:r>
      <w:r w:rsidR="00CF2351" w:rsidRPr="005E2F84">
        <w:rPr>
          <w:rFonts w:asciiTheme="minorHAnsi" w:eastAsia="Arial" w:hAnsiTheme="minorHAnsi"/>
        </w:rPr>
        <w:t> </w:t>
      </w:r>
      <w:r w:rsidRPr="005E2F84">
        <w:rPr>
          <w:rFonts w:asciiTheme="minorHAnsi" w:eastAsia="Arial" w:hAnsiTheme="minorHAnsi"/>
        </w:rPr>
        <w:t xml:space="preserve">31. </w:t>
      </w:r>
      <w:r w:rsidR="006F26F3" w:rsidRPr="005E2F84">
        <w:rPr>
          <w:rFonts w:asciiTheme="minorHAnsi" w:eastAsia="Arial" w:hAnsiTheme="minorHAnsi"/>
        </w:rPr>
        <w:t>prosinci</w:t>
      </w:r>
      <w:r w:rsidRPr="005E2F84">
        <w:rPr>
          <w:rFonts w:asciiTheme="minorHAnsi" w:eastAsia="Arial" w:hAnsiTheme="minorHAnsi"/>
        </w:rPr>
        <w:t xml:space="preserve"> 2022 v</w:t>
      </w:r>
      <w:r w:rsidR="00CF2351" w:rsidRPr="005E2F84">
        <w:rPr>
          <w:rFonts w:asciiTheme="minorHAnsi" w:eastAsia="Arial" w:hAnsiTheme="minorHAnsi"/>
        </w:rPr>
        <w:t> </w:t>
      </w:r>
      <w:r w:rsidR="00292BD6" w:rsidRPr="005E2F84">
        <w:rPr>
          <w:rFonts w:asciiTheme="minorHAnsi" w:eastAsia="Arial" w:hAnsiTheme="minorHAnsi"/>
        </w:rPr>
        <w:t>ČR</w:t>
      </w:r>
      <w:r w:rsidRPr="005E2F84">
        <w:rPr>
          <w:rFonts w:asciiTheme="minorHAnsi" w:eastAsia="Arial" w:hAnsiTheme="minorHAnsi"/>
        </w:rPr>
        <w:t xml:space="preserve"> 1 658 veřejných dobíjecích stanic (pozn. tj. o</w:t>
      </w:r>
      <w:r w:rsidR="00CF2351" w:rsidRPr="005E2F84">
        <w:rPr>
          <w:rFonts w:asciiTheme="minorHAnsi" w:eastAsia="Arial" w:hAnsiTheme="minorHAnsi"/>
        </w:rPr>
        <w:t> </w:t>
      </w:r>
      <w:r w:rsidRPr="005E2F84">
        <w:rPr>
          <w:rFonts w:asciiTheme="minorHAnsi" w:eastAsia="Arial" w:hAnsiTheme="minorHAnsi"/>
        </w:rPr>
        <w:t>294 více než v</w:t>
      </w:r>
      <w:r w:rsidR="00CF2351" w:rsidRPr="005E2F84">
        <w:rPr>
          <w:rFonts w:asciiTheme="minorHAnsi" w:eastAsia="Arial" w:hAnsiTheme="minorHAnsi"/>
        </w:rPr>
        <w:t> </w:t>
      </w:r>
      <w:r w:rsidRPr="005E2F84">
        <w:rPr>
          <w:rFonts w:asciiTheme="minorHAnsi" w:eastAsia="Arial" w:hAnsiTheme="minorHAnsi"/>
        </w:rPr>
        <w:t>evidenci MPO).</w:t>
      </w:r>
    </w:p>
    <w:p w14:paraId="637FEDC0" w14:textId="77774F33" w:rsidR="00BC0572" w:rsidRPr="00B07D79" w:rsidRDefault="00BC0572" w:rsidP="00B07D79">
      <w:pPr>
        <w:spacing w:line="276" w:lineRule="auto"/>
        <w:jc w:val="both"/>
        <w:rPr>
          <w:rFonts w:asciiTheme="minorHAnsi" w:hAnsiTheme="minorHAnsi"/>
        </w:rPr>
      </w:pPr>
      <w:r w:rsidRPr="005E2F84">
        <w:rPr>
          <w:rFonts w:asciiTheme="minorHAnsi" w:eastAsia="Arial" w:hAnsiTheme="minorHAnsi" w:cs="Arial"/>
          <w:szCs w:val="22"/>
        </w:rPr>
        <w:t xml:space="preserve">Webová aplikace je veřejně přístupná na webu </w:t>
      </w:r>
      <w:hyperlink r:id="rId66" w:history="1">
        <w:r w:rsidRPr="005E2F84">
          <w:rPr>
            <w:rStyle w:val="Hypertextovodkaz"/>
            <w:rFonts w:asciiTheme="minorHAnsi" w:eastAsia="Arial" w:hAnsiTheme="minorHAnsi" w:cs="Arial"/>
            <w:color w:val="auto"/>
            <w:szCs w:val="22"/>
            <w:u w:val="none"/>
          </w:rPr>
          <w:t>https://www.cistadoprava.cz/mapy/ev/</w:t>
        </w:r>
      </w:hyperlink>
      <w:r w:rsidRPr="005E2F84">
        <w:rPr>
          <w:rFonts w:asciiTheme="minorHAnsi" w:eastAsia="Arial" w:hAnsiTheme="minorHAnsi" w:cs="Arial"/>
          <w:szCs w:val="22"/>
        </w:rPr>
        <w:t xml:space="preserve"> a</w:t>
      </w:r>
      <w:r w:rsidR="00CF2351" w:rsidRPr="00B07D79">
        <w:rPr>
          <w:rFonts w:asciiTheme="minorHAnsi" w:eastAsia="Arial" w:hAnsiTheme="minorHAnsi" w:cs="Arial"/>
          <w:szCs w:val="22"/>
        </w:rPr>
        <w:t> </w:t>
      </w:r>
      <w:r w:rsidRPr="00B07D79">
        <w:rPr>
          <w:rFonts w:asciiTheme="minorHAnsi" w:eastAsia="Arial" w:hAnsiTheme="minorHAnsi" w:cs="Arial"/>
          <w:szCs w:val="22"/>
        </w:rPr>
        <w:t>kromě stávajících stanic vytipovává lokality pro umístění nových veřejných dobíjecích stanic s</w:t>
      </w:r>
      <w:r w:rsidR="00CF2351" w:rsidRPr="00B07D79">
        <w:rPr>
          <w:rFonts w:asciiTheme="minorHAnsi" w:eastAsia="Arial" w:hAnsiTheme="minorHAnsi" w:cs="Arial"/>
          <w:szCs w:val="22"/>
        </w:rPr>
        <w:t> </w:t>
      </w:r>
      <w:r w:rsidRPr="00B07D79">
        <w:rPr>
          <w:rFonts w:asciiTheme="minorHAnsi" w:eastAsia="Arial" w:hAnsiTheme="minorHAnsi" w:cs="Arial"/>
          <w:szCs w:val="22"/>
        </w:rPr>
        <w:t xml:space="preserve">přihlédnutím ke </w:t>
      </w:r>
      <w:r w:rsidRPr="00B07D79">
        <w:rPr>
          <w:rFonts w:asciiTheme="minorHAnsi" w:eastAsia="Arial" w:hAnsiTheme="minorHAnsi" w:cs="Arial"/>
          <w:szCs w:val="22"/>
        </w:rPr>
        <w:lastRenderedPageBreak/>
        <w:t>stanicím stávajícím, jejich výkonovým parametrům a</w:t>
      </w:r>
      <w:r w:rsidR="00CF2351" w:rsidRPr="00B07D79">
        <w:rPr>
          <w:rFonts w:asciiTheme="minorHAnsi" w:eastAsia="Arial" w:hAnsiTheme="minorHAnsi" w:cs="Arial"/>
          <w:szCs w:val="22"/>
        </w:rPr>
        <w:t> </w:t>
      </w:r>
      <w:r w:rsidRPr="00B07D79">
        <w:rPr>
          <w:rFonts w:asciiTheme="minorHAnsi" w:eastAsia="Arial" w:hAnsiTheme="minorHAnsi" w:cs="Arial"/>
          <w:szCs w:val="22"/>
        </w:rPr>
        <w:t>intenzitám dopravy. Ředitelství silnic a</w:t>
      </w:r>
      <w:r w:rsidR="00CF2351" w:rsidRPr="00B07D79">
        <w:rPr>
          <w:rFonts w:asciiTheme="minorHAnsi" w:eastAsia="Arial" w:hAnsiTheme="minorHAnsi" w:cs="Arial"/>
          <w:szCs w:val="22"/>
        </w:rPr>
        <w:t> </w:t>
      </w:r>
      <w:r w:rsidRPr="00B07D79">
        <w:rPr>
          <w:rFonts w:asciiTheme="minorHAnsi" w:eastAsia="Arial" w:hAnsiTheme="minorHAnsi" w:cs="Arial"/>
          <w:szCs w:val="22"/>
        </w:rPr>
        <w:t>dálnic aktuálně realizuje projekt vytvoření národního přístupového místa pro centrální sběr statických i</w:t>
      </w:r>
      <w:r w:rsidR="00CF2351" w:rsidRPr="00B07D79">
        <w:rPr>
          <w:rFonts w:asciiTheme="minorHAnsi" w:eastAsia="Arial" w:hAnsiTheme="minorHAnsi" w:cs="Arial"/>
          <w:szCs w:val="22"/>
        </w:rPr>
        <w:t> </w:t>
      </w:r>
      <w:r w:rsidRPr="00B07D79">
        <w:rPr>
          <w:rFonts w:asciiTheme="minorHAnsi" w:eastAsia="Arial" w:hAnsiTheme="minorHAnsi" w:cs="Arial"/>
          <w:szCs w:val="22"/>
        </w:rPr>
        <w:t>dynamických dat o</w:t>
      </w:r>
      <w:r w:rsidR="00CF2351" w:rsidRPr="00B07D79">
        <w:rPr>
          <w:rFonts w:asciiTheme="minorHAnsi" w:eastAsia="Arial" w:hAnsiTheme="minorHAnsi" w:cs="Arial"/>
          <w:szCs w:val="22"/>
        </w:rPr>
        <w:t> </w:t>
      </w:r>
      <w:r w:rsidRPr="00B07D79">
        <w:rPr>
          <w:rFonts w:asciiTheme="minorHAnsi" w:eastAsia="Arial" w:hAnsiTheme="minorHAnsi" w:cs="Arial"/>
          <w:szCs w:val="22"/>
        </w:rPr>
        <w:t>místech dobíjení energií v</w:t>
      </w:r>
      <w:r w:rsidR="00CF2351" w:rsidRPr="00B07D79">
        <w:rPr>
          <w:rFonts w:asciiTheme="minorHAnsi" w:eastAsia="Arial" w:hAnsiTheme="minorHAnsi" w:cs="Arial"/>
          <w:szCs w:val="22"/>
        </w:rPr>
        <w:t> </w:t>
      </w:r>
      <w:r w:rsidRPr="00B07D79">
        <w:rPr>
          <w:rFonts w:asciiTheme="minorHAnsi" w:eastAsia="Arial" w:hAnsiTheme="minorHAnsi" w:cs="Arial"/>
          <w:szCs w:val="22"/>
        </w:rPr>
        <w:t>rámci Národního dopravního a</w:t>
      </w:r>
      <w:r w:rsidR="00CF2351" w:rsidRPr="00B07D79">
        <w:rPr>
          <w:rFonts w:asciiTheme="minorHAnsi" w:eastAsia="Arial" w:hAnsiTheme="minorHAnsi" w:cs="Arial"/>
          <w:szCs w:val="22"/>
        </w:rPr>
        <w:t> </w:t>
      </w:r>
      <w:r w:rsidRPr="00B07D79">
        <w:rPr>
          <w:rFonts w:asciiTheme="minorHAnsi" w:eastAsia="Arial" w:hAnsiTheme="minorHAnsi" w:cs="Arial"/>
          <w:szCs w:val="22"/>
        </w:rPr>
        <w:t>informačního centra (NDIC). Projekt má být hotový do dubna 2025.</w:t>
      </w:r>
      <w:r w:rsidRPr="00B07D79">
        <w:rPr>
          <w:rFonts w:asciiTheme="minorHAnsi" w:hAnsiTheme="minorHAnsi" w:cstheme="minorHAnsi"/>
          <w:sz w:val="24"/>
        </w:rPr>
        <w:t xml:space="preserve"> </w:t>
      </w:r>
    </w:p>
    <w:p w14:paraId="3DD0C4CE" w14:textId="5BE1AD50" w:rsidR="00BC0572" w:rsidRPr="005E2F84" w:rsidRDefault="00BC0572" w:rsidP="00B07D79">
      <w:pPr>
        <w:pStyle w:val="Titulek"/>
        <w:keepNext/>
        <w:spacing w:line="276" w:lineRule="auto"/>
        <w:jc w:val="both"/>
        <w:rPr>
          <w:rFonts w:asciiTheme="minorHAnsi" w:hAnsiTheme="minorHAnsi"/>
          <w:b w:val="0"/>
          <w:bCs w:val="0"/>
          <w:color w:val="385623" w:themeColor="accent6" w:themeShade="80"/>
        </w:rPr>
      </w:pPr>
      <w:bookmarkStart w:id="253" w:name="_Hlk167268201"/>
      <w:bookmarkStart w:id="254" w:name="_Hlk167268222"/>
      <w:r w:rsidRPr="005E2F84">
        <w:rPr>
          <w:rFonts w:asciiTheme="minorHAnsi" w:hAnsiTheme="minorHAnsi"/>
          <w:b w:val="0"/>
          <w:bCs w:val="0"/>
          <w:color w:val="385623" w:themeColor="accent6" w:themeShade="80"/>
        </w:rPr>
        <w:t xml:space="preserve">Obrázek </w:t>
      </w:r>
      <w:r w:rsidR="003A7DBF" w:rsidRPr="005E2F84">
        <w:rPr>
          <w:rFonts w:asciiTheme="minorHAnsi" w:hAnsiTheme="minorHAnsi"/>
          <w:b w:val="0"/>
          <w:bCs w:val="0"/>
          <w:color w:val="385623" w:themeColor="accent6" w:themeShade="80"/>
        </w:rPr>
        <w:t xml:space="preserve">29 </w:t>
      </w:r>
      <w:r w:rsidRPr="005E2F84">
        <w:rPr>
          <w:rFonts w:asciiTheme="minorHAnsi" w:hAnsiTheme="minorHAnsi"/>
          <w:b w:val="0"/>
          <w:bCs w:val="0"/>
          <w:color w:val="385623" w:themeColor="accent6" w:themeShade="80"/>
        </w:rPr>
        <w:t>Optimalizace veřejné dobíjecí infrastruktury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bookmarkEnd w:id="253"/>
      <w:r w:rsidR="009D43FA" w:rsidRPr="005E2F84">
        <w:rPr>
          <w:rFonts w:asciiTheme="minorHAnsi" w:hAnsiTheme="minorHAnsi"/>
          <w:b w:val="0"/>
          <w:bCs w:val="0"/>
          <w:color w:val="385623" w:themeColor="accent6" w:themeShade="80"/>
        </w:rPr>
        <w:t xml:space="preserve"> </w:t>
      </w:r>
    </w:p>
    <w:bookmarkEnd w:id="254"/>
    <w:p w14:paraId="776782CB" w14:textId="77777777" w:rsidR="00BC0572" w:rsidRPr="00B07D79" w:rsidRDefault="008D3A19" w:rsidP="00B07D79">
      <w:pPr>
        <w:spacing w:line="276" w:lineRule="auto"/>
        <w:jc w:val="both"/>
        <w:rPr>
          <w:rFonts w:asciiTheme="minorHAnsi" w:hAnsiTheme="minorHAnsi"/>
        </w:rPr>
      </w:pPr>
      <w:r w:rsidRPr="00B07D79">
        <w:rPr>
          <w:rFonts w:asciiTheme="minorHAnsi" w:hAnsiTheme="minorHAnsi"/>
          <w:noProof/>
          <w:color w:val="2B579A"/>
          <w:shd w:val="clear" w:color="auto" w:fill="E6E6E6"/>
        </w:rPr>
        <w:drawing>
          <wp:inline distT="0" distB="0" distL="0" distR="0" wp14:anchorId="5911984F" wp14:editId="130D0491">
            <wp:extent cx="5760000" cy="3240000"/>
            <wp:effectExtent l="0" t="0" r="0" b="0"/>
            <wp:docPr id="2027925097" name="Obrázek 20279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60817" name=""/>
                    <pic:cNvPicPr/>
                  </pic:nvPicPr>
                  <pic:blipFill>
                    <a:blip r:embed="rId67">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p>
    <w:p w14:paraId="3430C22E" w14:textId="4E776F48" w:rsidR="002E476D" w:rsidRPr="005E2F84" w:rsidRDefault="00BC0572" w:rsidP="005E2F84">
      <w:pPr>
        <w:spacing w:line="276" w:lineRule="auto"/>
        <w:jc w:val="right"/>
        <w:rPr>
          <w:rFonts w:asciiTheme="minorHAnsi" w:hAnsiTheme="minorHAnsi"/>
          <w:color w:val="385623" w:themeColor="accent6" w:themeShade="80"/>
          <w:sz w:val="20"/>
          <w:szCs w:val="22"/>
        </w:rPr>
      </w:pPr>
      <w:r w:rsidRPr="005E2F84">
        <w:rPr>
          <w:rFonts w:asciiTheme="minorHAnsi" w:eastAsia="Arial" w:hAnsiTheme="minorHAnsi" w:cs="Arial"/>
          <w:i/>
          <w:iCs/>
          <w:color w:val="385623" w:themeColor="accent6" w:themeShade="80"/>
          <w:sz w:val="20"/>
          <w:szCs w:val="20"/>
        </w:rPr>
        <w:t xml:space="preserve">Zdroj: </w:t>
      </w:r>
      <w:r w:rsidR="00543438" w:rsidRPr="005E2F84">
        <w:rPr>
          <w:rFonts w:asciiTheme="minorHAnsi" w:eastAsia="Arial" w:hAnsiTheme="minorHAnsi" w:cs="Arial"/>
          <w:i/>
          <w:iCs/>
          <w:color w:val="385623" w:themeColor="accent6" w:themeShade="80"/>
          <w:sz w:val="20"/>
          <w:szCs w:val="20"/>
        </w:rPr>
        <w:t xml:space="preserve">www.cistadoprava.cz (CDV, </w:t>
      </w:r>
      <w:proofErr w:type="spellStart"/>
      <w:r w:rsidR="00543438" w:rsidRPr="005E2F84">
        <w:rPr>
          <w:rFonts w:asciiTheme="minorHAnsi" w:eastAsia="Arial" w:hAnsiTheme="minorHAnsi" w:cs="Arial"/>
          <w:i/>
          <w:iCs/>
          <w:color w:val="385623" w:themeColor="accent6" w:themeShade="80"/>
          <w:sz w:val="20"/>
          <w:szCs w:val="20"/>
        </w:rPr>
        <w:t>eco-movement</w:t>
      </w:r>
      <w:proofErr w:type="spellEnd"/>
      <w:r w:rsidR="00543438" w:rsidRPr="005E2F84">
        <w:rPr>
          <w:rFonts w:asciiTheme="minorHAnsi" w:eastAsia="Arial" w:hAnsiTheme="minorHAnsi" w:cs="Arial"/>
          <w:i/>
          <w:iCs/>
          <w:color w:val="385623" w:themeColor="accent6" w:themeShade="80"/>
          <w:sz w:val="20"/>
          <w:szCs w:val="20"/>
        </w:rPr>
        <w:t>)</w:t>
      </w:r>
      <w:bookmarkEnd w:id="238"/>
      <w:bookmarkEnd w:id="239"/>
      <w:bookmarkEnd w:id="240"/>
    </w:p>
    <w:p w14:paraId="4D96297D" w14:textId="21D922EC" w:rsidR="002E476D" w:rsidRPr="00B07D79" w:rsidRDefault="002E476D" w:rsidP="0074122A">
      <w:pPr>
        <w:pStyle w:val="Nadpis2"/>
      </w:pPr>
      <w:bookmarkStart w:id="255" w:name="_Toc152329813"/>
      <w:bookmarkStart w:id="256" w:name="_Toc153208224"/>
      <w:bookmarkStart w:id="257" w:name="_Toc159332170"/>
      <w:bookmarkStart w:id="258" w:name="_Toc159336651"/>
      <w:bookmarkStart w:id="259" w:name="_Toc160021754"/>
      <w:bookmarkStart w:id="260" w:name="_Toc162447444"/>
      <w:bookmarkStart w:id="261" w:name="_Toc173240079"/>
      <w:bookmarkStart w:id="262" w:name="_Toc159264319"/>
      <w:r w:rsidRPr="00B07D79">
        <w:t>Veřejné plničky CNG a</w:t>
      </w:r>
      <w:r w:rsidR="00CF2351" w:rsidRPr="00B07D79">
        <w:t> </w:t>
      </w:r>
      <w:r w:rsidRPr="00B07D79">
        <w:t>LNG</w:t>
      </w:r>
      <w:bookmarkEnd w:id="255"/>
      <w:bookmarkEnd w:id="256"/>
      <w:bookmarkEnd w:id="257"/>
      <w:bookmarkEnd w:id="258"/>
      <w:bookmarkEnd w:id="259"/>
      <w:bookmarkEnd w:id="260"/>
      <w:bookmarkEnd w:id="261"/>
      <w:r w:rsidRPr="00B07D79">
        <w:t xml:space="preserve"> </w:t>
      </w:r>
      <w:bookmarkEnd w:id="262"/>
    </w:p>
    <w:p w14:paraId="14C284E4" w14:textId="029151B2" w:rsidR="002E476D" w:rsidRPr="00B07D79" w:rsidRDefault="002E476D" w:rsidP="00B07D79">
      <w:pPr>
        <w:spacing w:line="276" w:lineRule="auto"/>
        <w:jc w:val="both"/>
        <w:rPr>
          <w:rFonts w:asciiTheme="minorHAnsi" w:hAnsiTheme="minorHAnsi"/>
        </w:rPr>
      </w:pPr>
      <w:r w:rsidRPr="00B07D79">
        <w:rPr>
          <w:rFonts w:asciiTheme="minorHAnsi" w:hAnsiTheme="minorHAnsi"/>
        </w:rPr>
        <w:t>Počet veřejných plniček CNG a</w:t>
      </w:r>
      <w:r w:rsidR="00CF2351" w:rsidRPr="00B07D79">
        <w:rPr>
          <w:rFonts w:asciiTheme="minorHAnsi" w:hAnsiTheme="minorHAnsi"/>
        </w:rPr>
        <w:t> </w:t>
      </w:r>
      <w:r w:rsidRPr="00B07D79">
        <w:rPr>
          <w:rFonts w:asciiTheme="minorHAnsi" w:hAnsiTheme="minorHAnsi"/>
        </w:rPr>
        <w:t>LNG roste. V</w:t>
      </w:r>
      <w:r w:rsidR="00CF2351" w:rsidRPr="00B07D79">
        <w:rPr>
          <w:rFonts w:asciiTheme="minorHAnsi" w:hAnsiTheme="minorHAnsi"/>
        </w:rPr>
        <w:t> </w:t>
      </w:r>
      <w:r w:rsidRPr="00B07D79">
        <w:rPr>
          <w:rFonts w:asciiTheme="minorHAnsi" w:hAnsiTheme="minorHAnsi"/>
        </w:rPr>
        <w:t>rámci OPD II byla poslední možnost, kdy se dalo čerpat unijní dotace na výstavbu plniček CNG, pro další období díky změně unijní legislativy podpora jejich výstavby již není možná.</w:t>
      </w:r>
      <w:r w:rsidR="00F55260" w:rsidRPr="00B07D79">
        <w:rPr>
          <w:rFonts w:asciiTheme="minorHAnsi" w:hAnsiTheme="minorHAnsi"/>
        </w:rPr>
        <w:t xml:space="preserve"> </w:t>
      </w:r>
      <w:r w:rsidRPr="00B07D79">
        <w:rPr>
          <w:rFonts w:asciiTheme="minorHAnsi" w:hAnsiTheme="minorHAnsi"/>
        </w:rPr>
        <w:t>V</w:t>
      </w:r>
      <w:r w:rsidR="00CF2351" w:rsidRPr="00B07D79">
        <w:rPr>
          <w:rFonts w:asciiTheme="minorHAnsi" w:hAnsiTheme="minorHAnsi"/>
        </w:rPr>
        <w:t> </w:t>
      </w:r>
      <w:r w:rsidRPr="00B07D79">
        <w:rPr>
          <w:rFonts w:asciiTheme="minorHAnsi" w:hAnsiTheme="minorHAnsi"/>
        </w:rPr>
        <w:t>souvislosti i</w:t>
      </w:r>
      <w:r w:rsidR="00CF2351" w:rsidRPr="00B07D79">
        <w:rPr>
          <w:rFonts w:asciiTheme="minorHAnsi" w:hAnsiTheme="minorHAnsi"/>
        </w:rPr>
        <w:t> </w:t>
      </w:r>
      <w:r w:rsidRPr="00B07D79">
        <w:rPr>
          <w:rFonts w:asciiTheme="minorHAnsi" w:hAnsiTheme="minorHAnsi"/>
        </w:rPr>
        <w:t>výrazným nárůstem ceny CNG a</w:t>
      </w:r>
      <w:r w:rsidR="00CF2351" w:rsidRPr="00B07D79">
        <w:rPr>
          <w:rFonts w:asciiTheme="minorHAnsi" w:hAnsiTheme="minorHAnsi"/>
        </w:rPr>
        <w:t> </w:t>
      </w:r>
      <w:r w:rsidRPr="00B07D79">
        <w:rPr>
          <w:rFonts w:asciiTheme="minorHAnsi" w:hAnsiTheme="minorHAnsi"/>
        </w:rPr>
        <w:t>pomalu rostoucímu vozovému parku nedochází k</w:t>
      </w:r>
      <w:r w:rsidR="00CF2351" w:rsidRPr="00B07D79">
        <w:rPr>
          <w:rFonts w:asciiTheme="minorHAnsi" w:hAnsiTheme="minorHAnsi"/>
        </w:rPr>
        <w:t> </w:t>
      </w:r>
      <w:r w:rsidRPr="00B07D79">
        <w:rPr>
          <w:rFonts w:asciiTheme="minorHAnsi" w:hAnsiTheme="minorHAnsi"/>
        </w:rPr>
        <w:t xml:space="preserve">takové výstavbě, jak bylo predikováno. </w:t>
      </w:r>
      <w:r w:rsidR="00EB2B20" w:rsidRPr="00B07D79">
        <w:rPr>
          <w:rFonts w:asciiTheme="minorHAnsi" w:hAnsiTheme="minorHAnsi"/>
        </w:rPr>
        <w:t>Z</w:t>
      </w:r>
      <w:r w:rsidR="00CF2351" w:rsidRPr="00B07D79">
        <w:rPr>
          <w:rFonts w:asciiTheme="minorHAnsi" w:hAnsiTheme="minorHAnsi"/>
        </w:rPr>
        <w:t> </w:t>
      </w:r>
      <w:r w:rsidR="00EB2B20" w:rsidRPr="00B07D79">
        <w:rPr>
          <w:rFonts w:asciiTheme="minorHAnsi" w:hAnsiTheme="minorHAnsi"/>
        </w:rPr>
        <w:t xml:space="preserve">hlediska počtu plniček CNG se daří plnit cíle NAP CM. Také díky rostoucímu vozovému parku kamionu na LNG se daří navyšovat počty plniček.  </w:t>
      </w:r>
    </w:p>
    <w:p w14:paraId="57968599" w14:textId="0BA299F9" w:rsidR="002E476D" w:rsidRPr="005E2F84" w:rsidRDefault="002E476D" w:rsidP="00B07D79">
      <w:pPr>
        <w:pStyle w:val="Titulek"/>
        <w:keepNext/>
        <w:spacing w:before="120" w:after="120" w:line="276" w:lineRule="auto"/>
        <w:jc w:val="both"/>
        <w:rPr>
          <w:rFonts w:asciiTheme="minorHAnsi" w:hAnsiTheme="minorHAnsi"/>
          <w:b w:val="0"/>
          <w:bCs w:val="0"/>
          <w:color w:val="385623" w:themeColor="accent6" w:themeShade="80"/>
        </w:rPr>
      </w:pPr>
      <w:bookmarkStart w:id="263" w:name="_Hlk163830852"/>
      <w:r w:rsidRPr="005E2F84">
        <w:rPr>
          <w:rFonts w:asciiTheme="minorHAnsi" w:hAnsiTheme="minorHAnsi"/>
          <w:b w:val="0"/>
          <w:bCs w:val="0"/>
          <w:color w:val="385623" w:themeColor="accent6" w:themeShade="80"/>
        </w:rPr>
        <w:t xml:space="preserve">Tabulka </w:t>
      </w:r>
      <w:r w:rsidR="003D774B" w:rsidRPr="005E2F84">
        <w:rPr>
          <w:rFonts w:asciiTheme="minorHAnsi" w:hAnsiTheme="minorHAnsi"/>
          <w:b w:val="0"/>
          <w:bCs w:val="0"/>
          <w:color w:val="385623" w:themeColor="accent6" w:themeShade="80"/>
        </w:rPr>
        <w:fldChar w:fldCharType="begin"/>
      </w:r>
      <w:r w:rsidR="003D774B" w:rsidRPr="005E2F84">
        <w:rPr>
          <w:rFonts w:asciiTheme="minorHAnsi" w:hAnsiTheme="minorHAnsi"/>
          <w:b w:val="0"/>
          <w:bCs w:val="0"/>
          <w:color w:val="385623" w:themeColor="accent6" w:themeShade="80"/>
        </w:rPr>
        <w:instrText xml:space="preserve"> SEQ Tabulka \* ARABIC </w:instrText>
      </w:r>
      <w:r w:rsidR="003D774B"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3</w:t>
      </w:r>
      <w:r w:rsidR="003D774B" w:rsidRPr="005E2F84">
        <w:rPr>
          <w:rFonts w:asciiTheme="minorHAnsi" w:hAnsiTheme="minorHAnsi"/>
          <w:b w:val="0"/>
          <w:bCs w:val="0"/>
          <w:noProof/>
          <w:color w:val="385623" w:themeColor="accent6" w:themeShade="80"/>
        </w:rPr>
        <w:fldChar w:fldCharType="end"/>
      </w:r>
      <w:r w:rsidRPr="005E2F84">
        <w:rPr>
          <w:rFonts w:asciiTheme="minorHAnsi" w:hAnsiTheme="minorHAnsi"/>
          <w:b w:val="0"/>
          <w:bCs w:val="0"/>
          <w:color w:val="385623" w:themeColor="accent6" w:themeShade="80"/>
        </w:rPr>
        <w:t xml:space="preserve"> </w:t>
      </w:r>
      <w:bookmarkEnd w:id="263"/>
      <w:r w:rsidRPr="005E2F84">
        <w:rPr>
          <w:rFonts w:asciiTheme="minorHAnsi" w:hAnsiTheme="minorHAnsi"/>
          <w:b w:val="0"/>
          <w:bCs w:val="0"/>
          <w:color w:val="385623" w:themeColor="accent6" w:themeShade="80"/>
        </w:rPr>
        <w:t>Počet veřejných plniček CNG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LNG</w:t>
      </w:r>
      <w:r w:rsidR="004579CB" w:rsidRPr="005E2F84">
        <w:rPr>
          <w:rFonts w:asciiTheme="minorHAnsi" w:hAnsiTheme="minorHAnsi"/>
          <w:b w:val="0"/>
          <w:bCs w:val="0"/>
          <w:color w:val="385623" w:themeColor="accent6" w:themeShade="80"/>
        </w:rPr>
        <w:t xml:space="preserve">  </w:t>
      </w:r>
    </w:p>
    <w:tbl>
      <w:tblPr>
        <w:tblW w:w="7856"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2973"/>
        <w:gridCol w:w="1217"/>
        <w:gridCol w:w="1118"/>
        <w:gridCol w:w="1221"/>
        <w:gridCol w:w="1327"/>
      </w:tblGrid>
      <w:tr w:rsidR="00EB2B20" w:rsidRPr="00B07D79" w14:paraId="57471E1D" w14:textId="7A342662" w:rsidTr="005E2F84">
        <w:trPr>
          <w:trHeight w:val="510"/>
        </w:trPr>
        <w:tc>
          <w:tcPr>
            <w:tcW w:w="2973" w:type="dxa"/>
            <w:shd w:val="clear" w:color="auto" w:fill="70AD47" w:themeFill="accent6"/>
            <w:noWrap/>
            <w:vAlign w:val="center"/>
            <w:hideMark/>
          </w:tcPr>
          <w:p w14:paraId="44901BA5" w14:textId="77777777" w:rsidR="00EB2B20" w:rsidRPr="005E2F84" w:rsidRDefault="00EB2B20" w:rsidP="00B07D79">
            <w:pPr>
              <w:spacing w:line="276" w:lineRule="auto"/>
              <w:jc w:val="both"/>
              <w:rPr>
                <w:rFonts w:asciiTheme="minorHAnsi" w:hAnsiTheme="minorHAnsi"/>
              </w:rPr>
            </w:pPr>
            <w:bookmarkStart w:id="264" w:name="_Hlk162446333"/>
            <w:r w:rsidRPr="005E2F84">
              <w:rPr>
                <w:rFonts w:asciiTheme="minorHAnsi" w:hAnsiTheme="minorHAnsi"/>
              </w:rPr>
              <w:t>Rok</w:t>
            </w:r>
          </w:p>
        </w:tc>
        <w:tc>
          <w:tcPr>
            <w:tcW w:w="1217" w:type="dxa"/>
            <w:shd w:val="clear" w:color="auto" w:fill="70AD47" w:themeFill="accent6"/>
            <w:vAlign w:val="center"/>
          </w:tcPr>
          <w:p w14:paraId="67815358" w14:textId="77777777" w:rsidR="00EB2B20" w:rsidRPr="005E2F84" w:rsidRDefault="00EB2B20" w:rsidP="00B07D79">
            <w:pPr>
              <w:spacing w:line="276" w:lineRule="auto"/>
              <w:jc w:val="both"/>
              <w:rPr>
                <w:rFonts w:asciiTheme="minorHAnsi" w:hAnsiTheme="minorHAnsi"/>
              </w:rPr>
            </w:pPr>
            <w:r w:rsidRPr="005E2F84">
              <w:rPr>
                <w:rFonts w:asciiTheme="minorHAnsi" w:hAnsiTheme="minorHAnsi"/>
              </w:rPr>
              <w:t>2019</w:t>
            </w:r>
          </w:p>
        </w:tc>
        <w:tc>
          <w:tcPr>
            <w:tcW w:w="1118" w:type="dxa"/>
            <w:shd w:val="clear" w:color="auto" w:fill="70AD47" w:themeFill="accent6"/>
            <w:vAlign w:val="center"/>
          </w:tcPr>
          <w:p w14:paraId="67673EF8" w14:textId="77777777" w:rsidR="00EB2B20" w:rsidRPr="005E2F84" w:rsidRDefault="00EB2B20" w:rsidP="00B07D79">
            <w:pPr>
              <w:spacing w:line="276" w:lineRule="auto"/>
              <w:jc w:val="both"/>
              <w:rPr>
                <w:rFonts w:asciiTheme="minorHAnsi" w:hAnsiTheme="minorHAnsi"/>
              </w:rPr>
            </w:pPr>
            <w:r w:rsidRPr="005E2F84">
              <w:rPr>
                <w:rFonts w:asciiTheme="minorHAnsi" w:hAnsiTheme="minorHAnsi"/>
              </w:rPr>
              <w:t>2020</w:t>
            </w:r>
          </w:p>
        </w:tc>
        <w:tc>
          <w:tcPr>
            <w:tcW w:w="1221" w:type="dxa"/>
            <w:shd w:val="clear" w:color="auto" w:fill="70AD47" w:themeFill="accent6"/>
            <w:vAlign w:val="center"/>
          </w:tcPr>
          <w:p w14:paraId="7EE78E6D" w14:textId="77777777" w:rsidR="00EB2B20" w:rsidRPr="005E2F84" w:rsidRDefault="00EB2B20" w:rsidP="00B07D79">
            <w:pPr>
              <w:spacing w:line="276" w:lineRule="auto"/>
              <w:jc w:val="both"/>
              <w:rPr>
                <w:rFonts w:asciiTheme="minorHAnsi" w:hAnsiTheme="minorHAnsi"/>
              </w:rPr>
            </w:pPr>
            <w:r w:rsidRPr="005E2F84">
              <w:rPr>
                <w:rFonts w:asciiTheme="minorHAnsi" w:hAnsiTheme="minorHAnsi"/>
              </w:rPr>
              <w:t>2021</w:t>
            </w:r>
          </w:p>
        </w:tc>
        <w:tc>
          <w:tcPr>
            <w:tcW w:w="1327" w:type="dxa"/>
            <w:shd w:val="clear" w:color="auto" w:fill="70AD47" w:themeFill="accent6"/>
            <w:vAlign w:val="center"/>
          </w:tcPr>
          <w:p w14:paraId="144FDFBD" w14:textId="77777777" w:rsidR="00EB2B20" w:rsidRPr="005E2F84" w:rsidRDefault="00EB2B20" w:rsidP="00B07D79">
            <w:pPr>
              <w:spacing w:line="276" w:lineRule="auto"/>
              <w:jc w:val="both"/>
              <w:rPr>
                <w:rFonts w:asciiTheme="minorHAnsi" w:hAnsiTheme="minorHAnsi"/>
              </w:rPr>
            </w:pPr>
            <w:r w:rsidRPr="005E2F84">
              <w:rPr>
                <w:rFonts w:asciiTheme="minorHAnsi" w:hAnsiTheme="minorHAnsi"/>
              </w:rPr>
              <w:t>2022</w:t>
            </w:r>
          </w:p>
        </w:tc>
      </w:tr>
      <w:tr w:rsidR="00EB2B20" w:rsidRPr="00B07D79" w14:paraId="2B1087EA" w14:textId="5E760B19" w:rsidTr="005E2F84">
        <w:trPr>
          <w:trHeight w:val="442"/>
        </w:trPr>
        <w:tc>
          <w:tcPr>
            <w:tcW w:w="2973" w:type="dxa"/>
            <w:shd w:val="clear" w:color="auto" w:fill="A8D08D" w:themeFill="accent6" w:themeFillTint="99"/>
            <w:vAlign w:val="center"/>
            <w:hideMark/>
          </w:tcPr>
          <w:p w14:paraId="5E5B312D"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počet veřejných plniček na CNG</w:t>
            </w:r>
          </w:p>
        </w:tc>
        <w:tc>
          <w:tcPr>
            <w:tcW w:w="1217" w:type="dxa"/>
            <w:shd w:val="clear" w:color="auto" w:fill="A8D08D" w:themeFill="accent6" w:themeFillTint="99"/>
            <w:vAlign w:val="center"/>
          </w:tcPr>
          <w:p w14:paraId="6B7A61BD"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207</w:t>
            </w:r>
          </w:p>
        </w:tc>
        <w:tc>
          <w:tcPr>
            <w:tcW w:w="1118" w:type="dxa"/>
            <w:shd w:val="clear" w:color="auto" w:fill="A8D08D" w:themeFill="accent6" w:themeFillTint="99"/>
            <w:vAlign w:val="center"/>
          </w:tcPr>
          <w:p w14:paraId="51047A0F"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219</w:t>
            </w:r>
          </w:p>
        </w:tc>
        <w:tc>
          <w:tcPr>
            <w:tcW w:w="1221" w:type="dxa"/>
            <w:shd w:val="clear" w:color="auto" w:fill="A8D08D" w:themeFill="accent6" w:themeFillTint="99"/>
            <w:vAlign w:val="center"/>
          </w:tcPr>
          <w:p w14:paraId="33CB6898"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228</w:t>
            </w:r>
          </w:p>
        </w:tc>
        <w:tc>
          <w:tcPr>
            <w:tcW w:w="1327" w:type="dxa"/>
            <w:shd w:val="clear" w:color="auto" w:fill="A8D08D" w:themeFill="accent6" w:themeFillTint="99"/>
            <w:vAlign w:val="center"/>
          </w:tcPr>
          <w:p w14:paraId="1D784C36"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230</w:t>
            </w:r>
          </w:p>
        </w:tc>
      </w:tr>
      <w:tr w:rsidR="00EB2B20" w:rsidRPr="00B07D79" w14:paraId="79295D3D" w14:textId="6D612139" w:rsidTr="005E2F84">
        <w:trPr>
          <w:trHeight w:val="442"/>
        </w:trPr>
        <w:tc>
          <w:tcPr>
            <w:tcW w:w="2973" w:type="dxa"/>
            <w:shd w:val="clear" w:color="auto" w:fill="A8D08D" w:themeFill="accent6" w:themeFillTint="99"/>
            <w:vAlign w:val="center"/>
          </w:tcPr>
          <w:p w14:paraId="343ADCBF"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počet veřejných plniček na LNG</w:t>
            </w:r>
          </w:p>
        </w:tc>
        <w:tc>
          <w:tcPr>
            <w:tcW w:w="1217" w:type="dxa"/>
            <w:shd w:val="clear" w:color="auto" w:fill="A8D08D" w:themeFill="accent6" w:themeFillTint="99"/>
            <w:vAlign w:val="center"/>
          </w:tcPr>
          <w:p w14:paraId="513362D4" w14:textId="77777777" w:rsidR="00EB2B20" w:rsidRPr="00B07D79" w:rsidRDefault="00EB2B20" w:rsidP="00B07D79">
            <w:pPr>
              <w:spacing w:line="276" w:lineRule="auto"/>
              <w:jc w:val="both"/>
              <w:rPr>
                <w:rFonts w:asciiTheme="minorHAnsi" w:hAnsiTheme="minorHAnsi"/>
              </w:rPr>
            </w:pPr>
          </w:p>
        </w:tc>
        <w:tc>
          <w:tcPr>
            <w:tcW w:w="1118" w:type="dxa"/>
            <w:shd w:val="clear" w:color="auto" w:fill="A8D08D" w:themeFill="accent6" w:themeFillTint="99"/>
            <w:vAlign w:val="center"/>
          </w:tcPr>
          <w:p w14:paraId="3B6337E2" w14:textId="77777777" w:rsidR="00EB2B20" w:rsidRPr="00B07D79" w:rsidRDefault="00EB2B20" w:rsidP="00B07D79">
            <w:pPr>
              <w:spacing w:line="276" w:lineRule="auto"/>
              <w:jc w:val="both"/>
              <w:rPr>
                <w:rFonts w:asciiTheme="minorHAnsi" w:hAnsiTheme="minorHAnsi"/>
              </w:rPr>
            </w:pPr>
          </w:p>
        </w:tc>
        <w:tc>
          <w:tcPr>
            <w:tcW w:w="1221" w:type="dxa"/>
            <w:shd w:val="clear" w:color="auto" w:fill="A8D08D" w:themeFill="accent6" w:themeFillTint="99"/>
            <w:vAlign w:val="center"/>
          </w:tcPr>
          <w:p w14:paraId="68639CE9"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3</w:t>
            </w:r>
          </w:p>
        </w:tc>
        <w:tc>
          <w:tcPr>
            <w:tcW w:w="1327" w:type="dxa"/>
            <w:shd w:val="clear" w:color="auto" w:fill="A8D08D" w:themeFill="accent6" w:themeFillTint="99"/>
            <w:vAlign w:val="center"/>
          </w:tcPr>
          <w:p w14:paraId="50877F3E" w14:textId="77777777" w:rsidR="00EB2B20" w:rsidRPr="00B07D79" w:rsidRDefault="00EB2B20" w:rsidP="00B07D79">
            <w:pPr>
              <w:spacing w:line="276" w:lineRule="auto"/>
              <w:jc w:val="both"/>
              <w:rPr>
                <w:rFonts w:asciiTheme="minorHAnsi" w:hAnsiTheme="minorHAnsi"/>
              </w:rPr>
            </w:pPr>
            <w:r w:rsidRPr="00B07D79">
              <w:rPr>
                <w:rFonts w:asciiTheme="minorHAnsi" w:hAnsiTheme="minorHAnsi"/>
              </w:rPr>
              <w:t>5</w:t>
            </w:r>
          </w:p>
        </w:tc>
      </w:tr>
    </w:tbl>
    <w:bookmarkEnd w:id="264"/>
    <w:p w14:paraId="42EAE6B2" w14:textId="7A50D8F4" w:rsidR="002E476D" w:rsidRPr="005E2F84" w:rsidRDefault="002E476D" w:rsidP="005E2F84">
      <w:pPr>
        <w:spacing w:line="276" w:lineRule="auto"/>
        <w:jc w:val="right"/>
        <w:rPr>
          <w:rStyle w:val="Hypertextovodkaz"/>
          <w:rFonts w:asciiTheme="minorHAnsi" w:hAnsiTheme="minorHAnsi"/>
          <w:i/>
          <w:iCs/>
          <w:color w:val="385623" w:themeColor="accent6" w:themeShade="80"/>
          <w:sz w:val="20"/>
          <w:szCs w:val="22"/>
          <w:u w:val="none"/>
        </w:rPr>
      </w:pPr>
      <w:r w:rsidRPr="005E2F84">
        <w:rPr>
          <w:rFonts w:asciiTheme="minorHAnsi" w:hAnsiTheme="minorHAnsi"/>
          <w:i/>
          <w:iCs/>
          <w:color w:val="385623" w:themeColor="accent6" w:themeShade="80"/>
          <w:sz w:val="20"/>
          <w:szCs w:val="22"/>
        </w:rPr>
        <w:t xml:space="preserve">Zdroj: </w:t>
      </w:r>
      <w:hyperlink r:id="rId68" w:history="1">
        <w:r w:rsidRPr="005E2F84">
          <w:rPr>
            <w:rStyle w:val="Hypertextovodkaz"/>
            <w:rFonts w:asciiTheme="minorHAnsi" w:hAnsiTheme="minorHAnsi"/>
            <w:i/>
            <w:iCs/>
            <w:color w:val="385623" w:themeColor="accent6" w:themeShade="80"/>
            <w:sz w:val="20"/>
            <w:szCs w:val="22"/>
            <w:u w:val="none"/>
          </w:rPr>
          <w:t>www.plynovadoprava.cz</w:t>
        </w:r>
      </w:hyperlink>
    </w:p>
    <w:p w14:paraId="48A1061E" w14:textId="43155854" w:rsidR="002E476D" w:rsidRPr="005E2F84" w:rsidRDefault="002E476D" w:rsidP="0074122A">
      <w:pPr>
        <w:pStyle w:val="Nadpis2"/>
        <w:rPr>
          <w:sz w:val="32"/>
          <w:szCs w:val="36"/>
        </w:rPr>
      </w:pPr>
      <w:bookmarkStart w:id="265" w:name="_Toc152329814"/>
      <w:bookmarkStart w:id="266" w:name="_Toc159264320"/>
      <w:bookmarkStart w:id="267" w:name="_Toc153208225"/>
      <w:bookmarkStart w:id="268" w:name="_Toc159332171"/>
      <w:bookmarkStart w:id="269" w:name="_Toc159336652"/>
      <w:bookmarkStart w:id="270" w:name="_Toc160021755"/>
      <w:bookmarkStart w:id="271" w:name="_Toc162447445"/>
      <w:bookmarkStart w:id="272" w:name="_Toc173240080"/>
      <w:r w:rsidRPr="005E2F84">
        <w:rPr>
          <w:sz w:val="32"/>
          <w:szCs w:val="36"/>
        </w:rPr>
        <w:lastRenderedPageBreak/>
        <w:t xml:space="preserve">Veřejné </w:t>
      </w:r>
      <w:r w:rsidR="009902BB" w:rsidRPr="005E2F84">
        <w:rPr>
          <w:sz w:val="32"/>
          <w:szCs w:val="36"/>
        </w:rPr>
        <w:t xml:space="preserve">čerpací stanice </w:t>
      </w:r>
      <w:r w:rsidRPr="005E2F84">
        <w:rPr>
          <w:sz w:val="32"/>
          <w:szCs w:val="36"/>
        </w:rPr>
        <w:t>H2</w:t>
      </w:r>
      <w:bookmarkEnd w:id="265"/>
      <w:bookmarkEnd w:id="266"/>
      <w:bookmarkEnd w:id="267"/>
      <w:bookmarkEnd w:id="268"/>
      <w:bookmarkEnd w:id="269"/>
      <w:bookmarkEnd w:id="270"/>
      <w:bookmarkEnd w:id="271"/>
      <w:bookmarkEnd w:id="272"/>
    </w:p>
    <w:p w14:paraId="6474835D" w14:textId="75B091B6" w:rsidR="002E476D" w:rsidRPr="00B07D79" w:rsidRDefault="002E476D" w:rsidP="00B07D79">
      <w:pPr>
        <w:spacing w:line="276" w:lineRule="auto"/>
        <w:jc w:val="both"/>
        <w:rPr>
          <w:rFonts w:asciiTheme="minorHAnsi" w:hAnsiTheme="minorHAnsi"/>
        </w:rPr>
      </w:pPr>
      <w:r w:rsidRPr="00B07D79">
        <w:rPr>
          <w:rFonts w:asciiTheme="minorHAnsi" w:hAnsiTheme="minorHAnsi"/>
        </w:rPr>
        <w:t>Od roku 2009 je v</w:t>
      </w:r>
      <w:r w:rsidR="00CF2351" w:rsidRPr="00B07D79">
        <w:rPr>
          <w:rFonts w:asciiTheme="minorHAnsi" w:hAnsiTheme="minorHAnsi"/>
        </w:rPr>
        <w:t> </w:t>
      </w:r>
      <w:r w:rsidRPr="00B07D79">
        <w:rPr>
          <w:rFonts w:asciiTheme="minorHAnsi" w:hAnsiTheme="minorHAnsi"/>
        </w:rPr>
        <w:t xml:space="preserve">provozu </w:t>
      </w:r>
      <w:r w:rsidR="009902BB" w:rsidRPr="00B07D79">
        <w:rPr>
          <w:rFonts w:asciiTheme="minorHAnsi" w:hAnsiTheme="minorHAnsi"/>
        </w:rPr>
        <w:t xml:space="preserve">čerpací </w:t>
      </w:r>
      <w:r w:rsidRPr="00B07D79">
        <w:rPr>
          <w:rFonts w:asciiTheme="minorHAnsi" w:hAnsiTheme="minorHAnsi"/>
        </w:rPr>
        <w:t>stanice čistého vodíku v</w:t>
      </w:r>
      <w:r w:rsidR="00CF2351" w:rsidRPr="00B07D79">
        <w:rPr>
          <w:rFonts w:asciiTheme="minorHAnsi" w:hAnsiTheme="minorHAnsi"/>
        </w:rPr>
        <w:t> </w:t>
      </w:r>
      <w:r w:rsidRPr="00B07D79">
        <w:rPr>
          <w:rFonts w:asciiTheme="minorHAnsi" w:hAnsiTheme="minorHAnsi"/>
        </w:rPr>
        <w:t>Neratovicích, která byla vybudována v</w:t>
      </w:r>
      <w:r w:rsidR="00CF2351" w:rsidRPr="00B07D79">
        <w:rPr>
          <w:rFonts w:asciiTheme="minorHAnsi" w:hAnsiTheme="minorHAnsi"/>
        </w:rPr>
        <w:t> </w:t>
      </w:r>
      <w:r w:rsidRPr="00B07D79">
        <w:rPr>
          <w:rFonts w:asciiTheme="minorHAnsi" w:hAnsiTheme="minorHAnsi"/>
        </w:rPr>
        <w:t>rámci pilotního projektu. Je určena pro plnění autobusů, pro využití pro osobní automobily je její tlak nedostačující. V</w:t>
      </w:r>
      <w:r w:rsidR="00CF2351" w:rsidRPr="00B07D79">
        <w:rPr>
          <w:rFonts w:asciiTheme="minorHAnsi" w:hAnsiTheme="minorHAnsi"/>
        </w:rPr>
        <w:t> </w:t>
      </w:r>
      <w:r w:rsidRPr="00B07D79">
        <w:rPr>
          <w:rFonts w:asciiTheme="minorHAnsi" w:hAnsiTheme="minorHAnsi"/>
        </w:rPr>
        <w:t xml:space="preserve">červnu 2022 byla zprovozněna první veřejná vodíková </w:t>
      </w:r>
      <w:r w:rsidR="009902BB" w:rsidRPr="00B07D79">
        <w:rPr>
          <w:rFonts w:asciiTheme="minorHAnsi" w:hAnsiTheme="minorHAnsi"/>
        </w:rPr>
        <w:t xml:space="preserve">čerpací </w:t>
      </w:r>
      <w:r w:rsidRPr="00B07D79">
        <w:rPr>
          <w:rFonts w:asciiTheme="minorHAnsi" w:hAnsiTheme="minorHAnsi"/>
        </w:rPr>
        <w:t>stanice v</w:t>
      </w:r>
      <w:r w:rsidR="00CF2351" w:rsidRPr="00B07D79">
        <w:rPr>
          <w:rFonts w:asciiTheme="minorHAnsi" w:hAnsiTheme="minorHAnsi"/>
        </w:rPr>
        <w:t> </w:t>
      </w:r>
      <w:r w:rsidRPr="00B07D79">
        <w:rPr>
          <w:rFonts w:asciiTheme="minorHAnsi" w:hAnsiTheme="minorHAnsi"/>
        </w:rPr>
        <w:t>ČR společností VÍTKOVICE, a. s. V</w:t>
      </w:r>
      <w:r w:rsidR="00CF2351" w:rsidRPr="00B07D79">
        <w:rPr>
          <w:rFonts w:asciiTheme="minorHAnsi" w:hAnsiTheme="minorHAnsi"/>
        </w:rPr>
        <w:t> </w:t>
      </w:r>
      <w:r w:rsidRPr="00B07D79">
        <w:rPr>
          <w:rFonts w:asciiTheme="minorHAnsi" w:hAnsiTheme="minorHAnsi"/>
        </w:rPr>
        <w:t>březnu 2023 na čerpací stanici na</w:t>
      </w:r>
      <w:r w:rsidR="008126E4" w:rsidRPr="00B07D79">
        <w:rPr>
          <w:rFonts w:asciiTheme="minorHAnsi" w:hAnsiTheme="minorHAnsi"/>
        </w:rPr>
        <w:t> </w:t>
      </w:r>
      <w:r w:rsidRPr="00B07D79">
        <w:rPr>
          <w:rFonts w:asciiTheme="minorHAnsi" w:hAnsiTheme="minorHAnsi"/>
        </w:rPr>
        <w:t xml:space="preserve">pražském Barrandově byl uveden do provozu vodíkový </w:t>
      </w:r>
      <w:r w:rsidR="009902BB" w:rsidRPr="00B07D79">
        <w:rPr>
          <w:rFonts w:asciiTheme="minorHAnsi" w:hAnsiTheme="minorHAnsi"/>
        </w:rPr>
        <w:t xml:space="preserve">čerpací </w:t>
      </w:r>
      <w:r w:rsidRPr="00B07D79">
        <w:rPr>
          <w:rFonts w:asciiTheme="minorHAnsi" w:hAnsiTheme="minorHAnsi"/>
        </w:rPr>
        <w:t>stojan pro automobily, nákladní vozidla a</w:t>
      </w:r>
      <w:r w:rsidR="00CF2351" w:rsidRPr="00B07D79">
        <w:rPr>
          <w:rFonts w:asciiTheme="minorHAnsi" w:hAnsiTheme="minorHAnsi"/>
        </w:rPr>
        <w:t> </w:t>
      </w:r>
      <w:r w:rsidRPr="00B07D79">
        <w:rPr>
          <w:rFonts w:asciiTheme="minorHAnsi" w:hAnsiTheme="minorHAnsi"/>
        </w:rPr>
        <w:t>autobusy.</w:t>
      </w:r>
    </w:p>
    <w:p w14:paraId="64E07826" w14:textId="0AECD443" w:rsidR="002E476D" w:rsidRPr="005E2F84" w:rsidRDefault="002E476D" w:rsidP="0074122A">
      <w:pPr>
        <w:pStyle w:val="Nadpis2"/>
        <w:rPr>
          <w:sz w:val="32"/>
          <w:szCs w:val="36"/>
        </w:rPr>
      </w:pPr>
      <w:bookmarkStart w:id="273" w:name="_Toc152329815"/>
      <w:bookmarkStart w:id="274" w:name="_Toc159264321"/>
      <w:bookmarkStart w:id="275" w:name="_Toc153208226"/>
      <w:bookmarkStart w:id="276" w:name="_Toc159332172"/>
      <w:bookmarkStart w:id="277" w:name="_Toc159336653"/>
      <w:bookmarkStart w:id="278" w:name="_Toc160021756"/>
      <w:bookmarkStart w:id="279" w:name="_Toc162447446"/>
      <w:bookmarkStart w:id="280" w:name="_Toc173240081"/>
      <w:r w:rsidRPr="005E2F84">
        <w:rPr>
          <w:sz w:val="32"/>
          <w:szCs w:val="36"/>
        </w:rPr>
        <w:t>Spotřeba paliv</w:t>
      </w:r>
      <w:bookmarkEnd w:id="273"/>
      <w:bookmarkEnd w:id="274"/>
      <w:bookmarkEnd w:id="275"/>
      <w:bookmarkEnd w:id="276"/>
      <w:bookmarkEnd w:id="277"/>
      <w:bookmarkEnd w:id="278"/>
      <w:bookmarkEnd w:id="279"/>
      <w:bookmarkEnd w:id="280"/>
    </w:p>
    <w:p w14:paraId="126E4331" w14:textId="770EBE7D" w:rsidR="002E476D" w:rsidRPr="00B07D79" w:rsidRDefault="002E476D" w:rsidP="0074122A">
      <w:pPr>
        <w:pStyle w:val="Nadpis3"/>
      </w:pPr>
      <w:bookmarkStart w:id="281" w:name="_Toc152329816"/>
      <w:bookmarkStart w:id="282" w:name="_Toc159264322"/>
      <w:bookmarkStart w:id="283" w:name="_Toc153208227"/>
      <w:bookmarkStart w:id="284" w:name="_Toc159332173"/>
      <w:bookmarkStart w:id="285" w:name="_Toc159336654"/>
      <w:bookmarkStart w:id="286" w:name="_Toc160021757"/>
      <w:bookmarkStart w:id="287" w:name="_Toc162447447"/>
      <w:bookmarkStart w:id="288" w:name="_Toc173240082"/>
      <w:r w:rsidRPr="00B07D79">
        <w:t>Spotřeba elektřiny</w:t>
      </w:r>
      <w:bookmarkEnd w:id="281"/>
      <w:bookmarkEnd w:id="282"/>
      <w:bookmarkEnd w:id="283"/>
      <w:bookmarkEnd w:id="284"/>
      <w:bookmarkEnd w:id="285"/>
      <w:bookmarkEnd w:id="286"/>
      <w:bookmarkEnd w:id="287"/>
      <w:bookmarkEnd w:id="288"/>
    </w:p>
    <w:p w14:paraId="6D9D1669" w14:textId="7B12AAF4" w:rsidR="009147EE" w:rsidRPr="00B07D79" w:rsidRDefault="009147EE" w:rsidP="00B07D79">
      <w:pPr>
        <w:spacing w:line="276" w:lineRule="auto"/>
        <w:jc w:val="both"/>
        <w:rPr>
          <w:rFonts w:asciiTheme="minorHAnsi" w:hAnsiTheme="minorHAnsi" w:cstheme="minorHAnsi"/>
        </w:rPr>
      </w:pPr>
      <w:r w:rsidRPr="00B07D79">
        <w:rPr>
          <w:rFonts w:asciiTheme="minorHAnsi" w:hAnsiTheme="minorHAnsi" w:cstheme="minorHAnsi"/>
        </w:rPr>
        <w:t>V roce 2023 došlo k</w:t>
      </w:r>
      <w:r w:rsidR="00CF2351" w:rsidRPr="00B07D79">
        <w:rPr>
          <w:rFonts w:asciiTheme="minorHAnsi" w:hAnsiTheme="minorHAnsi" w:cstheme="minorHAnsi"/>
        </w:rPr>
        <w:t> </w:t>
      </w:r>
      <w:r w:rsidRPr="00B07D79">
        <w:rPr>
          <w:rFonts w:asciiTheme="minorHAnsi" w:hAnsiTheme="minorHAnsi" w:cstheme="minorHAnsi"/>
        </w:rPr>
        <w:t>opětovnému navýšení spotřeby elektřiny na veřejných dobíjecích stanicích. V</w:t>
      </w:r>
      <w:r w:rsidR="00CF2351" w:rsidRPr="00B07D79">
        <w:rPr>
          <w:rFonts w:asciiTheme="minorHAnsi" w:hAnsiTheme="minorHAnsi" w:cstheme="minorHAnsi"/>
        </w:rPr>
        <w:t> </w:t>
      </w:r>
      <w:r w:rsidRPr="00B07D79">
        <w:rPr>
          <w:rFonts w:asciiTheme="minorHAnsi" w:hAnsiTheme="minorHAnsi" w:cstheme="minorHAnsi"/>
        </w:rPr>
        <w:t>letech 2020-2023 došlo ke čtyřnásobnému navýšení vydané elektřiny. V</w:t>
      </w:r>
      <w:r w:rsidR="00CF2351" w:rsidRPr="00B07D79">
        <w:rPr>
          <w:rFonts w:asciiTheme="minorHAnsi" w:hAnsiTheme="minorHAnsi" w:cstheme="minorHAnsi"/>
        </w:rPr>
        <w:t> </w:t>
      </w:r>
      <w:r w:rsidRPr="00B07D79">
        <w:rPr>
          <w:rFonts w:asciiTheme="minorHAnsi" w:hAnsiTheme="minorHAnsi" w:cstheme="minorHAnsi"/>
        </w:rPr>
        <w:t>roce 2023 např.:</w:t>
      </w:r>
    </w:p>
    <w:p w14:paraId="56FDCA2B" w14:textId="0F26A79B" w:rsidR="009147EE" w:rsidRPr="00B07D79" w:rsidRDefault="009147EE" w:rsidP="00B07D79">
      <w:pPr>
        <w:pStyle w:val="Bullet1"/>
        <w:spacing w:line="276" w:lineRule="auto"/>
        <w:jc w:val="both"/>
        <w:rPr>
          <w:rFonts w:asciiTheme="minorHAnsi" w:hAnsiTheme="minorHAnsi"/>
        </w:rPr>
      </w:pPr>
      <w:r w:rsidRPr="00B07D79">
        <w:rPr>
          <w:rFonts w:asciiTheme="minorHAnsi" w:hAnsiTheme="minorHAnsi"/>
        </w:rPr>
        <w:t>na DS ČEZ řidiči využili téměř 5,5 GWh certifikované zelené elektřiny, což je o</w:t>
      </w:r>
      <w:r w:rsidR="00CF2351" w:rsidRPr="00B07D79">
        <w:rPr>
          <w:rFonts w:asciiTheme="minorHAnsi" w:hAnsiTheme="minorHAnsi"/>
        </w:rPr>
        <w:t> </w:t>
      </w:r>
      <w:r w:rsidRPr="00B07D79">
        <w:rPr>
          <w:rFonts w:asciiTheme="minorHAnsi" w:hAnsiTheme="minorHAnsi"/>
        </w:rPr>
        <w:t>čtvrtinu více než v</w:t>
      </w:r>
      <w:r w:rsidR="00CF2351" w:rsidRPr="00B07D79">
        <w:rPr>
          <w:rFonts w:asciiTheme="minorHAnsi" w:hAnsiTheme="minorHAnsi"/>
        </w:rPr>
        <w:t> </w:t>
      </w:r>
      <w:r w:rsidRPr="00B07D79">
        <w:rPr>
          <w:rFonts w:asciiTheme="minorHAnsi" w:hAnsiTheme="minorHAnsi"/>
        </w:rPr>
        <w:t>roce 2022 a</w:t>
      </w:r>
      <w:r w:rsidR="00CF2351" w:rsidRPr="00B07D79">
        <w:rPr>
          <w:rFonts w:asciiTheme="minorHAnsi" w:hAnsiTheme="minorHAnsi"/>
        </w:rPr>
        <w:t> </w:t>
      </w:r>
      <w:r w:rsidRPr="00B07D79">
        <w:rPr>
          <w:rFonts w:asciiTheme="minorHAnsi" w:hAnsiTheme="minorHAnsi"/>
        </w:rPr>
        <w:t xml:space="preserve">5,5násobek ve srovnání se stejným obdobím před pěti lety, </w:t>
      </w:r>
    </w:p>
    <w:p w14:paraId="4BAC2C82" w14:textId="55F2D2B4" w:rsidR="009147EE" w:rsidRPr="00B07D79" w:rsidRDefault="009147EE" w:rsidP="00B07D79">
      <w:pPr>
        <w:pStyle w:val="Bullet1"/>
        <w:spacing w:line="276" w:lineRule="auto"/>
        <w:jc w:val="both"/>
        <w:rPr>
          <w:rFonts w:asciiTheme="minorHAnsi" w:hAnsiTheme="minorHAnsi"/>
        </w:rPr>
      </w:pPr>
      <w:r w:rsidRPr="00B07D79">
        <w:rPr>
          <w:rFonts w:asciiTheme="minorHAnsi" w:hAnsiTheme="minorHAnsi"/>
        </w:rPr>
        <w:t>ze sítě PRE POINT odebrali uživatelé elektromobilů 5,23 GWh elektrické energie, meziročně o</w:t>
      </w:r>
      <w:r w:rsidR="00CF2351" w:rsidRPr="00B07D79">
        <w:rPr>
          <w:rFonts w:asciiTheme="minorHAnsi" w:hAnsiTheme="minorHAnsi"/>
        </w:rPr>
        <w:t> </w:t>
      </w:r>
      <w:r w:rsidRPr="00B07D79">
        <w:rPr>
          <w:rFonts w:asciiTheme="minorHAnsi" w:hAnsiTheme="minorHAnsi"/>
        </w:rPr>
        <w:t xml:space="preserve">69 % více. </w:t>
      </w:r>
    </w:p>
    <w:p w14:paraId="3F757FF1" w14:textId="54BD81FF" w:rsidR="00C7321C" w:rsidRPr="00B07D79" w:rsidRDefault="00C7321C" w:rsidP="00B07D79">
      <w:pPr>
        <w:pStyle w:val="Bullet1"/>
        <w:spacing w:line="276" w:lineRule="auto"/>
        <w:jc w:val="both"/>
        <w:rPr>
          <w:rFonts w:asciiTheme="minorHAnsi" w:hAnsiTheme="minorHAnsi"/>
        </w:rPr>
      </w:pPr>
      <w:r w:rsidRPr="00B07D79">
        <w:rPr>
          <w:rFonts w:asciiTheme="minorHAnsi" w:hAnsiTheme="minorHAnsi"/>
        </w:rPr>
        <w:t xml:space="preserve">zákazníci E. </w:t>
      </w:r>
      <w:proofErr w:type="spellStart"/>
      <w:r w:rsidRPr="00B07D79">
        <w:rPr>
          <w:rFonts w:asciiTheme="minorHAnsi" w:hAnsiTheme="minorHAnsi"/>
        </w:rPr>
        <w:t>ONu</w:t>
      </w:r>
      <w:proofErr w:type="spellEnd"/>
      <w:r w:rsidRPr="00B07D79">
        <w:rPr>
          <w:rFonts w:asciiTheme="minorHAnsi" w:hAnsiTheme="minorHAnsi"/>
        </w:rPr>
        <w:t xml:space="preserve"> dobili téměř 2 GWh, což představuje meziroční nárůst o</w:t>
      </w:r>
      <w:r w:rsidR="00CF2351" w:rsidRPr="00B07D79">
        <w:rPr>
          <w:rFonts w:asciiTheme="minorHAnsi" w:hAnsiTheme="minorHAnsi"/>
        </w:rPr>
        <w:t> </w:t>
      </w:r>
      <w:r w:rsidRPr="00B07D79">
        <w:rPr>
          <w:rFonts w:asciiTheme="minorHAnsi" w:hAnsiTheme="minorHAnsi"/>
        </w:rPr>
        <w:t>65 %.</w:t>
      </w:r>
    </w:p>
    <w:p w14:paraId="2B146C2B" w14:textId="6D8A667B" w:rsidR="002E476D" w:rsidRPr="005E2F84" w:rsidRDefault="00C7321C"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 </w:t>
      </w:r>
      <w:r w:rsidR="002E476D" w:rsidRPr="005E2F84">
        <w:rPr>
          <w:rFonts w:asciiTheme="minorHAnsi" w:hAnsiTheme="minorHAnsi"/>
          <w:b w:val="0"/>
          <w:bCs w:val="0"/>
          <w:color w:val="385623" w:themeColor="accent6" w:themeShade="80"/>
        </w:rPr>
        <w:t xml:space="preserve">Tabulka </w:t>
      </w:r>
      <w:r w:rsidR="003D774B" w:rsidRPr="005E2F84">
        <w:rPr>
          <w:rFonts w:asciiTheme="minorHAnsi" w:hAnsiTheme="minorHAnsi"/>
          <w:b w:val="0"/>
          <w:bCs w:val="0"/>
          <w:color w:val="385623" w:themeColor="accent6" w:themeShade="80"/>
        </w:rPr>
        <w:fldChar w:fldCharType="begin"/>
      </w:r>
      <w:r w:rsidR="003D774B" w:rsidRPr="005E2F84">
        <w:rPr>
          <w:rFonts w:asciiTheme="minorHAnsi" w:hAnsiTheme="minorHAnsi"/>
          <w:b w:val="0"/>
          <w:bCs w:val="0"/>
          <w:color w:val="385623" w:themeColor="accent6" w:themeShade="80"/>
        </w:rPr>
        <w:instrText xml:space="preserve"> SEQ Tabulka \* ARABIC </w:instrText>
      </w:r>
      <w:r w:rsidR="003D774B" w:rsidRPr="005E2F84">
        <w:rPr>
          <w:rFonts w:asciiTheme="minorHAnsi" w:hAnsiTheme="minorHAnsi"/>
          <w:b w:val="0"/>
          <w:bCs w:val="0"/>
          <w:color w:val="385623" w:themeColor="accent6" w:themeShade="80"/>
        </w:rPr>
        <w:fldChar w:fldCharType="separate"/>
      </w:r>
      <w:r w:rsidR="00E46C57" w:rsidRPr="005E2F84">
        <w:rPr>
          <w:rFonts w:asciiTheme="minorHAnsi" w:hAnsiTheme="minorHAnsi"/>
          <w:b w:val="0"/>
          <w:bCs w:val="0"/>
          <w:noProof/>
          <w:color w:val="385623" w:themeColor="accent6" w:themeShade="80"/>
        </w:rPr>
        <w:t>4</w:t>
      </w:r>
      <w:r w:rsidR="003D774B" w:rsidRPr="005E2F84">
        <w:rPr>
          <w:rFonts w:asciiTheme="minorHAnsi" w:hAnsiTheme="minorHAnsi"/>
          <w:b w:val="0"/>
          <w:bCs w:val="0"/>
          <w:noProof/>
          <w:color w:val="385623" w:themeColor="accent6" w:themeShade="80"/>
        </w:rPr>
        <w:fldChar w:fldCharType="end"/>
      </w:r>
      <w:r w:rsidR="00D435DE" w:rsidRPr="005E2F84">
        <w:rPr>
          <w:rFonts w:asciiTheme="minorHAnsi" w:hAnsiTheme="minorHAnsi"/>
          <w:b w:val="0"/>
          <w:bCs w:val="0"/>
          <w:color w:val="385623" w:themeColor="accent6" w:themeShade="80"/>
        </w:rPr>
        <w:t xml:space="preserve"> </w:t>
      </w:r>
      <w:r w:rsidR="002E476D" w:rsidRPr="005E2F84">
        <w:rPr>
          <w:rFonts w:asciiTheme="minorHAnsi" w:hAnsiTheme="minorHAnsi"/>
          <w:b w:val="0"/>
          <w:bCs w:val="0"/>
          <w:color w:val="385623" w:themeColor="accent6" w:themeShade="80"/>
        </w:rPr>
        <w:t>Spotřeba elektřiny na veřejných dobíjecích stanicích</w:t>
      </w:r>
      <w:r w:rsidR="004579CB" w:rsidRPr="005E2F84">
        <w:rPr>
          <w:rFonts w:asciiTheme="minorHAnsi" w:hAnsiTheme="minorHAnsi"/>
          <w:b w:val="0"/>
          <w:bCs w:val="0"/>
          <w:color w:val="385623" w:themeColor="accent6" w:themeShade="80"/>
        </w:rPr>
        <w:t xml:space="preserve"> </w:t>
      </w:r>
    </w:p>
    <w:tbl>
      <w:tblPr>
        <w:tblW w:w="9072"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988"/>
        <w:gridCol w:w="3394"/>
        <w:gridCol w:w="4690"/>
      </w:tblGrid>
      <w:tr w:rsidR="002E476D" w:rsidRPr="00B07D79" w14:paraId="7ED2285E" w14:textId="77777777" w:rsidTr="005E2F84">
        <w:trPr>
          <w:trHeight w:val="510"/>
        </w:trPr>
        <w:tc>
          <w:tcPr>
            <w:tcW w:w="988" w:type="dxa"/>
            <w:shd w:val="clear" w:color="auto" w:fill="70AD47" w:themeFill="accent6"/>
            <w:noWrap/>
            <w:vAlign w:val="center"/>
            <w:hideMark/>
          </w:tcPr>
          <w:p w14:paraId="49867E65" w14:textId="77777777" w:rsidR="002E476D" w:rsidRPr="005E2F84" w:rsidRDefault="002E476D" w:rsidP="00B07D79">
            <w:pPr>
              <w:spacing w:line="276" w:lineRule="auto"/>
              <w:jc w:val="both"/>
              <w:rPr>
                <w:rFonts w:asciiTheme="minorHAnsi" w:hAnsiTheme="minorHAnsi"/>
              </w:rPr>
            </w:pPr>
            <w:r w:rsidRPr="005E2F84">
              <w:rPr>
                <w:rFonts w:asciiTheme="minorHAnsi" w:hAnsiTheme="minorHAnsi"/>
              </w:rPr>
              <w:t>Rok</w:t>
            </w:r>
          </w:p>
        </w:tc>
        <w:tc>
          <w:tcPr>
            <w:tcW w:w="3394" w:type="dxa"/>
            <w:shd w:val="clear" w:color="auto" w:fill="70AD47" w:themeFill="accent6"/>
            <w:vAlign w:val="center"/>
          </w:tcPr>
          <w:p w14:paraId="47ABBB30" w14:textId="77777777" w:rsidR="002E476D" w:rsidRPr="005E2F84" w:rsidRDefault="002E476D" w:rsidP="00B07D79">
            <w:pPr>
              <w:spacing w:line="276" w:lineRule="auto"/>
              <w:jc w:val="both"/>
              <w:rPr>
                <w:rFonts w:asciiTheme="minorHAnsi" w:hAnsiTheme="minorHAnsi"/>
              </w:rPr>
            </w:pPr>
            <w:r w:rsidRPr="005E2F84">
              <w:rPr>
                <w:rFonts w:asciiTheme="minorHAnsi" w:hAnsiTheme="minorHAnsi"/>
              </w:rPr>
              <w:t>Spotřebovaná elektřina MWh</w:t>
            </w:r>
          </w:p>
        </w:tc>
        <w:tc>
          <w:tcPr>
            <w:tcW w:w="4690" w:type="dxa"/>
            <w:shd w:val="clear" w:color="auto" w:fill="70AD47" w:themeFill="accent6"/>
            <w:vAlign w:val="center"/>
          </w:tcPr>
          <w:p w14:paraId="2238F9C1" w14:textId="77777777" w:rsidR="002E476D" w:rsidRPr="005E2F84" w:rsidRDefault="002E476D" w:rsidP="00B07D79">
            <w:pPr>
              <w:spacing w:line="276" w:lineRule="auto"/>
              <w:jc w:val="both"/>
              <w:rPr>
                <w:rFonts w:asciiTheme="minorHAnsi" w:hAnsiTheme="minorHAnsi"/>
              </w:rPr>
            </w:pPr>
            <w:r w:rsidRPr="005E2F84">
              <w:rPr>
                <w:rFonts w:asciiTheme="minorHAnsi" w:hAnsiTheme="minorHAnsi"/>
              </w:rPr>
              <w:t>Meziroční nárůst (%)</w:t>
            </w:r>
          </w:p>
        </w:tc>
      </w:tr>
      <w:tr w:rsidR="002E476D" w:rsidRPr="00B07D79" w14:paraId="68EACC2B" w14:textId="77777777" w:rsidTr="005E2F84">
        <w:trPr>
          <w:trHeight w:val="340"/>
        </w:trPr>
        <w:tc>
          <w:tcPr>
            <w:tcW w:w="988" w:type="dxa"/>
            <w:shd w:val="clear" w:color="auto" w:fill="A8D08D" w:themeFill="accent6" w:themeFillTint="99"/>
            <w:noWrap/>
            <w:vAlign w:val="center"/>
          </w:tcPr>
          <w:p w14:paraId="5F63946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2019</w:t>
            </w:r>
          </w:p>
        </w:tc>
        <w:tc>
          <w:tcPr>
            <w:tcW w:w="3394" w:type="dxa"/>
            <w:shd w:val="clear" w:color="auto" w:fill="A8D08D" w:themeFill="accent6" w:themeFillTint="99"/>
            <w:vAlign w:val="center"/>
          </w:tcPr>
          <w:p w14:paraId="0A4065B9"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2 350</w:t>
            </w:r>
          </w:p>
        </w:tc>
        <w:tc>
          <w:tcPr>
            <w:tcW w:w="4690" w:type="dxa"/>
            <w:shd w:val="clear" w:color="auto" w:fill="A8D08D" w:themeFill="accent6" w:themeFillTint="99"/>
            <w:vAlign w:val="center"/>
          </w:tcPr>
          <w:p w14:paraId="638B0FD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64,34</w:t>
            </w:r>
          </w:p>
        </w:tc>
      </w:tr>
      <w:tr w:rsidR="002E476D" w:rsidRPr="00B07D79" w14:paraId="78FE9A52" w14:textId="77777777" w:rsidTr="005E2F84">
        <w:trPr>
          <w:trHeight w:val="340"/>
        </w:trPr>
        <w:tc>
          <w:tcPr>
            <w:tcW w:w="988" w:type="dxa"/>
            <w:shd w:val="clear" w:color="auto" w:fill="A8D08D" w:themeFill="accent6" w:themeFillTint="99"/>
            <w:noWrap/>
            <w:vAlign w:val="center"/>
          </w:tcPr>
          <w:p w14:paraId="12A7888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2020</w:t>
            </w:r>
          </w:p>
        </w:tc>
        <w:tc>
          <w:tcPr>
            <w:tcW w:w="3394" w:type="dxa"/>
            <w:shd w:val="clear" w:color="auto" w:fill="A8D08D" w:themeFill="accent6" w:themeFillTint="99"/>
            <w:vAlign w:val="center"/>
          </w:tcPr>
          <w:p w14:paraId="402C928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3 750</w:t>
            </w:r>
          </w:p>
        </w:tc>
        <w:tc>
          <w:tcPr>
            <w:tcW w:w="4690" w:type="dxa"/>
            <w:shd w:val="clear" w:color="auto" w:fill="A8D08D" w:themeFill="accent6" w:themeFillTint="99"/>
            <w:vAlign w:val="center"/>
          </w:tcPr>
          <w:p w14:paraId="08FD504F"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59,57</w:t>
            </w:r>
          </w:p>
        </w:tc>
      </w:tr>
      <w:tr w:rsidR="002E476D" w:rsidRPr="00B07D79" w14:paraId="7999F72C" w14:textId="77777777" w:rsidTr="005E2F84">
        <w:trPr>
          <w:trHeight w:val="340"/>
        </w:trPr>
        <w:tc>
          <w:tcPr>
            <w:tcW w:w="988" w:type="dxa"/>
            <w:shd w:val="clear" w:color="auto" w:fill="A8D08D" w:themeFill="accent6" w:themeFillTint="99"/>
            <w:noWrap/>
            <w:vAlign w:val="center"/>
          </w:tcPr>
          <w:p w14:paraId="5A7341C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2021</w:t>
            </w:r>
          </w:p>
        </w:tc>
        <w:tc>
          <w:tcPr>
            <w:tcW w:w="3394" w:type="dxa"/>
            <w:shd w:val="clear" w:color="auto" w:fill="A8D08D" w:themeFill="accent6" w:themeFillTint="99"/>
            <w:vAlign w:val="center"/>
          </w:tcPr>
          <w:p w14:paraId="12AEA6FE"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6 440</w:t>
            </w:r>
          </w:p>
        </w:tc>
        <w:tc>
          <w:tcPr>
            <w:tcW w:w="4690" w:type="dxa"/>
            <w:shd w:val="clear" w:color="auto" w:fill="A8D08D" w:themeFill="accent6" w:themeFillTint="99"/>
            <w:vAlign w:val="center"/>
          </w:tcPr>
          <w:p w14:paraId="514906E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71,7</w:t>
            </w:r>
          </w:p>
        </w:tc>
      </w:tr>
      <w:tr w:rsidR="002E476D" w:rsidRPr="00B07D79" w14:paraId="159E7E53" w14:textId="77777777" w:rsidTr="005E2F84">
        <w:trPr>
          <w:trHeight w:val="340"/>
        </w:trPr>
        <w:tc>
          <w:tcPr>
            <w:tcW w:w="988" w:type="dxa"/>
            <w:shd w:val="clear" w:color="auto" w:fill="A8D08D" w:themeFill="accent6" w:themeFillTint="99"/>
            <w:noWrap/>
            <w:vAlign w:val="center"/>
          </w:tcPr>
          <w:p w14:paraId="22AC427B"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2022</w:t>
            </w:r>
          </w:p>
        </w:tc>
        <w:tc>
          <w:tcPr>
            <w:tcW w:w="3394" w:type="dxa"/>
            <w:shd w:val="clear" w:color="auto" w:fill="A8D08D" w:themeFill="accent6" w:themeFillTint="99"/>
            <w:vAlign w:val="center"/>
          </w:tcPr>
          <w:p w14:paraId="457F26F3"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11 800</w:t>
            </w:r>
          </w:p>
        </w:tc>
        <w:tc>
          <w:tcPr>
            <w:tcW w:w="4690" w:type="dxa"/>
            <w:shd w:val="clear" w:color="auto" w:fill="A8D08D" w:themeFill="accent6" w:themeFillTint="99"/>
            <w:vAlign w:val="center"/>
          </w:tcPr>
          <w:p w14:paraId="3A060FF2" w14:textId="77777777" w:rsidR="002E476D" w:rsidRPr="00B07D79" w:rsidRDefault="002E476D" w:rsidP="00B07D79">
            <w:pPr>
              <w:spacing w:line="276" w:lineRule="auto"/>
              <w:jc w:val="both"/>
              <w:rPr>
                <w:rFonts w:asciiTheme="minorHAnsi" w:hAnsiTheme="minorHAnsi"/>
              </w:rPr>
            </w:pPr>
            <w:r w:rsidRPr="00B07D79">
              <w:rPr>
                <w:rFonts w:asciiTheme="minorHAnsi" w:hAnsiTheme="minorHAnsi"/>
              </w:rPr>
              <w:t>83,2</w:t>
            </w:r>
          </w:p>
        </w:tc>
      </w:tr>
      <w:tr w:rsidR="009147EE" w:rsidRPr="00B07D79" w14:paraId="68F49598" w14:textId="77777777" w:rsidTr="005E2F84">
        <w:trPr>
          <w:trHeight w:val="340"/>
        </w:trPr>
        <w:tc>
          <w:tcPr>
            <w:tcW w:w="988" w:type="dxa"/>
            <w:shd w:val="clear" w:color="auto" w:fill="A8D08D" w:themeFill="accent6" w:themeFillTint="99"/>
            <w:noWrap/>
            <w:vAlign w:val="center"/>
          </w:tcPr>
          <w:p w14:paraId="3C3A49EA" w14:textId="163342C6" w:rsidR="009147EE" w:rsidRPr="00B07D79" w:rsidRDefault="009147EE" w:rsidP="00B07D79">
            <w:pPr>
              <w:spacing w:line="276" w:lineRule="auto"/>
              <w:jc w:val="both"/>
              <w:rPr>
                <w:rFonts w:asciiTheme="minorHAnsi" w:hAnsiTheme="minorHAnsi"/>
              </w:rPr>
            </w:pPr>
            <w:r w:rsidRPr="00B07D79">
              <w:rPr>
                <w:rFonts w:asciiTheme="minorHAnsi" w:hAnsiTheme="minorHAnsi"/>
              </w:rPr>
              <w:t>2023*</w:t>
            </w:r>
          </w:p>
        </w:tc>
        <w:tc>
          <w:tcPr>
            <w:tcW w:w="3394" w:type="dxa"/>
            <w:shd w:val="clear" w:color="auto" w:fill="A8D08D" w:themeFill="accent6" w:themeFillTint="99"/>
            <w:vAlign w:val="center"/>
          </w:tcPr>
          <w:p w14:paraId="23326B81" w14:textId="379CD20E" w:rsidR="009147EE" w:rsidRPr="00B07D79" w:rsidRDefault="009147EE" w:rsidP="00B07D79">
            <w:pPr>
              <w:spacing w:line="276" w:lineRule="auto"/>
              <w:jc w:val="both"/>
              <w:rPr>
                <w:rFonts w:asciiTheme="minorHAnsi" w:hAnsiTheme="minorHAnsi"/>
              </w:rPr>
            </w:pPr>
            <w:r w:rsidRPr="00B07D79">
              <w:rPr>
                <w:rFonts w:asciiTheme="minorHAnsi" w:hAnsiTheme="minorHAnsi"/>
              </w:rPr>
              <w:t>15 000</w:t>
            </w:r>
          </w:p>
        </w:tc>
        <w:tc>
          <w:tcPr>
            <w:tcW w:w="4690" w:type="dxa"/>
            <w:shd w:val="clear" w:color="auto" w:fill="A8D08D" w:themeFill="accent6" w:themeFillTint="99"/>
            <w:vAlign w:val="center"/>
          </w:tcPr>
          <w:p w14:paraId="6052F101" w14:textId="77777777" w:rsidR="009147EE" w:rsidRPr="00B07D79" w:rsidRDefault="009147EE" w:rsidP="00B07D79">
            <w:pPr>
              <w:spacing w:line="276" w:lineRule="auto"/>
              <w:jc w:val="both"/>
              <w:rPr>
                <w:rFonts w:asciiTheme="minorHAnsi" w:hAnsiTheme="minorHAnsi"/>
              </w:rPr>
            </w:pPr>
          </w:p>
        </w:tc>
      </w:tr>
    </w:tbl>
    <w:p w14:paraId="7C60ED99" w14:textId="276A4E25" w:rsidR="002E476D" w:rsidRPr="005E2F84" w:rsidRDefault="002E476D" w:rsidP="005E2F84">
      <w:pPr>
        <w:spacing w:line="276" w:lineRule="auto"/>
        <w:jc w:val="right"/>
        <w:rPr>
          <w:rFonts w:asciiTheme="minorHAnsi" w:hAnsiTheme="minorHAnsi"/>
          <w:i/>
          <w:iCs/>
          <w:color w:val="385623" w:themeColor="accent6" w:themeShade="80"/>
          <w:sz w:val="20"/>
          <w:szCs w:val="22"/>
        </w:rPr>
      </w:pPr>
      <w:r w:rsidRPr="005E2F84">
        <w:rPr>
          <w:rFonts w:asciiTheme="minorHAnsi" w:hAnsiTheme="minorHAnsi"/>
          <w:i/>
          <w:iCs/>
          <w:color w:val="385623" w:themeColor="accent6" w:themeShade="80"/>
          <w:sz w:val="20"/>
          <w:szCs w:val="22"/>
        </w:rPr>
        <w:t>Zdroj: MPO</w:t>
      </w:r>
      <w:r w:rsidR="009147EE" w:rsidRPr="005E2F84">
        <w:rPr>
          <w:rFonts w:asciiTheme="minorHAnsi" w:hAnsiTheme="minorHAnsi"/>
          <w:i/>
          <w:iCs/>
          <w:color w:val="385623" w:themeColor="accent6" w:themeShade="80"/>
          <w:sz w:val="20"/>
          <w:szCs w:val="22"/>
        </w:rPr>
        <w:t xml:space="preserve"> * předběžné číslo </w:t>
      </w:r>
    </w:p>
    <w:p w14:paraId="2D87F04F" w14:textId="413B712F" w:rsidR="002E476D" w:rsidRPr="00B07D79" w:rsidRDefault="002E476D" w:rsidP="0074122A">
      <w:pPr>
        <w:pStyle w:val="Nadpis3"/>
      </w:pPr>
      <w:bookmarkStart w:id="289" w:name="_Toc152329817"/>
      <w:bookmarkStart w:id="290" w:name="_Toc153208228"/>
      <w:bookmarkStart w:id="291" w:name="_Toc159332174"/>
      <w:bookmarkStart w:id="292" w:name="_Toc159336655"/>
      <w:bookmarkStart w:id="293" w:name="_Toc160021758"/>
      <w:bookmarkStart w:id="294" w:name="_Toc162447448"/>
      <w:bookmarkStart w:id="295" w:name="_Toc173240083"/>
      <w:bookmarkStart w:id="296" w:name="_Toc159264323"/>
      <w:r w:rsidRPr="00B07D79">
        <w:t>Spotřeba CNG, LNG a</w:t>
      </w:r>
      <w:r w:rsidR="00CF2351" w:rsidRPr="00B07D79">
        <w:t> </w:t>
      </w:r>
      <w:r w:rsidRPr="00B07D79">
        <w:t>bioCNG</w:t>
      </w:r>
      <w:bookmarkEnd w:id="289"/>
      <w:bookmarkEnd w:id="290"/>
      <w:bookmarkEnd w:id="291"/>
      <w:bookmarkEnd w:id="292"/>
      <w:bookmarkEnd w:id="293"/>
      <w:bookmarkEnd w:id="294"/>
      <w:bookmarkEnd w:id="295"/>
      <w:r w:rsidRPr="00B07D79">
        <w:t xml:space="preserve">  </w:t>
      </w:r>
      <w:bookmarkEnd w:id="296"/>
    </w:p>
    <w:p w14:paraId="2C1A835D" w14:textId="2591BB72" w:rsidR="00DE4EFB" w:rsidRPr="00B07D79" w:rsidRDefault="002E476D" w:rsidP="00B07D79">
      <w:pPr>
        <w:spacing w:line="276" w:lineRule="auto"/>
        <w:jc w:val="both"/>
        <w:rPr>
          <w:rFonts w:asciiTheme="minorHAnsi" w:hAnsiTheme="minorHAnsi"/>
        </w:rPr>
      </w:pPr>
      <w:r w:rsidRPr="00B07D79">
        <w:rPr>
          <w:rFonts w:asciiTheme="minorHAnsi" w:hAnsiTheme="minorHAnsi"/>
        </w:rPr>
        <w:t>Celková spotřeba plynu v</w:t>
      </w:r>
      <w:r w:rsidR="00CF2351" w:rsidRPr="00B07D79">
        <w:rPr>
          <w:rFonts w:asciiTheme="minorHAnsi" w:hAnsiTheme="minorHAnsi"/>
        </w:rPr>
        <w:t> </w:t>
      </w:r>
      <w:r w:rsidRPr="00B07D79">
        <w:rPr>
          <w:rFonts w:asciiTheme="minorHAnsi" w:hAnsiTheme="minorHAnsi"/>
        </w:rPr>
        <w:t>dopravě vzrostla z</w:t>
      </w:r>
      <w:r w:rsidR="00CF2351" w:rsidRPr="00B07D79">
        <w:rPr>
          <w:rFonts w:asciiTheme="minorHAnsi" w:hAnsiTheme="minorHAnsi"/>
        </w:rPr>
        <w:t> </w:t>
      </w:r>
      <w:r w:rsidRPr="00B07D79">
        <w:rPr>
          <w:rFonts w:asciiTheme="minorHAnsi" w:hAnsiTheme="minorHAnsi"/>
        </w:rPr>
        <w:t xml:space="preserve">91,3 mil. </w:t>
      </w:r>
      <w:r w:rsidRPr="00B07D79">
        <w:rPr>
          <w:rFonts w:asciiTheme="minorHAnsi" w:hAnsiTheme="minorHAnsi" w:cs="Arial"/>
        </w:rPr>
        <w:t>m</w:t>
      </w:r>
      <w:r w:rsidRPr="00B07D79">
        <w:rPr>
          <w:rFonts w:asciiTheme="minorHAnsi" w:hAnsiTheme="minorHAnsi" w:cs="Arial"/>
          <w:vertAlign w:val="superscript"/>
        </w:rPr>
        <w:t>3</w:t>
      </w:r>
      <w:r w:rsidRPr="00B07D79">
        <w:rPr>
          <w:rFonts w:asciiTheme="minorHAnsi" w:hAnsiTheme="minorHAnsi"/>
        </w:rPr>
        <w:t xml:space="preserve"> v</w:t>
      </w:r>
      <w:r w:rsidR="00CF2351" w:rsidRPr="00B07D79">
        <w:rPr>
          <w:rFonts w:asciiTheme="minorHAnsi" w:hAnsiTheme="minorHAnsi"/>
        </w:rPr>
        <w:t> </w:t>
      </w:r>
      <w:r w:rsidRPr="00B07D79">
        <w:rPr>
          <w:rFonts w:asciiTheme="minorHAnsi" w:hAnsiTheme="minorHAnsi"/>
        </w:rPr>
        <w:t xml:space="preserve">roce 2019 na 96 mil. </w:t>
      </w:r>
      <w:r w:rsidRPr="00B07D79">
        <w:rPr>
          <w:rFonts w:asciiTheme="minorHAnsi" w:hAnsiTheme="minorHAnsi" w:cs="Arial"/>
        </w:rPr>
        <w:t>m</w:t>
      </w:r>
      <w:r w:rsidRPr="00B07D79">
        <w:rPr>
          <w:rFonts w:asciiTheme="minorHAnsi" w:hAnsiTheme="minorHAnsi" w:cs="Arial"/>
          <w:vertAlign w:val="superscript"/>
        </w:rPr>
        <w:t>3</w:t>
      </w:r>
      <w:r w:rsidRPr="00B07D79">
        <w:rPr>
          <w:rFonts w:asciiTheme="minorHAnsi" w:hAnsiTheme="minorHAnsi"/>
        </w:rPr>
        <w:t xml:space="preserve"> v</w:t>
      </w:r>
      <w:r w:rsidR="00CF2351" w:rsidRPr="00B07D79">
        <w:rPr>
          <w:rFonts w:asciiTheme="minorHAnsi" w:hAnsiTheme="minorHAnsi"/>
        </w:rPr>
        <w:t> </w:t>
      </w:r>
      <w:r w:rsidRPr="00B07D79">
        <w:rPr>
          <w:rFonts w:asciiTheme="minorHAnsi" w:hAnsiTheme="minorHAnsi"/>
        </w:rPr>
        <w:t>roce 2022, tedy o</w:t>
      </w:r>
      <w:r w:rsidR="00CF2351" w:rsidRPr="00B07D79">
        <w:rPr>
          <w:rFonts w:asciiTheme="minorHAnsi" w:hAnsiTheme="minorHAnsi"/>
        </w:rPr>
        <w:t> </w:t>
      </w:r>
      <w:r w:rsidRPr="00B07D79">
        <w:rPr>
          <w:rFonts w:asciiTheme="minorHAnsi" w:hAnsiTheme="minorHAnsi"/>
        </w:rPr>
        <w:t>5 %. Od roku 2021 registrujeme významný podíl biometanu importovaného ze</w:t>
      </w:r>
      <w:r w:rsidR="008126E4" w:rsidRPr="00B07D79">
        <w:rPr>
          <w:rFonts w:asciiTheme="minorHAnsi" w:hAnsiTheme="minorHAnsi"/>
        </w:rPr>
        <w:t> </w:t>
      </w:r>
      <w:r w:rsidRPr="00B07D79">
        <w:rPr>
          <w:rFonts w:asciiTheme="minorHAnsi" w:hAnsiTheme="minorHAnsi"/>
        </w:rPr>
        <w:t>zahraničí. V</w:t>
      </w:r>
      <w:r w:rsidR="00CF2351" w:rsidRPr="00B07D79">
        <w:rPr>
          <w:rFonts w:asciiTheme="minorHAnsi" w:hAnsiTheme="minorHAnsi"/>
        </w:rPr>
        <w:t> </w:t>
      </w:r>
      <w:r w:rsidRPr="00B07D79">
        <w:rPr>
          <w:rFonts w:asciiTheme="minorHAnsi" w:hAnsiTheme="minorHAnsi"/>
        </w:rPr>
        <w:t>roce 2021 se jednalo o</w:t>
      </w:r>
      <w:r w:rsidR="00CF2351" w:rsidRPr="00B07D79">
        <w:rPr>
          <w:rFonts w:asciiTheme="minorHAnsi" w:hAnsiTheme="minorHAnsi"/>
        </w:rPr>
        <w:t> </w:t>
      </w:r>
      <w:r w:rsidRPr="00B07D79">
        <w:rPr>
          <w:rFonts w:asciiTheme="minorHAnsi" w:hAnsiTheme="minorHAnsi"/>
        </w:rPr>
        <w:t xml:space="preserve">14,93 mil. </w:t>
      </w:r>
      <w:r w:rsidRPr="00B07D79">
        <w:rPr>
          <w:rFonts w:asciiTheme="minorHAnsi" w:hAnsiTheme="minorHAnsi" w:cs="Arial"/>
        </w:rPr>
        <w:t>m</w:t>
      </w:r>
      <w:r w:rsidRPr="00B07D79">
        <w:rPr>
          <w:rFonts w:asciiTheme="minorHAnsi" w:hAnsiTheme="minorHAnsi" w:cs="Arial"/>
          <w:vertAlign w:val="superscript"/>
        </w:rPr>
        <w:t>3</w:t>
      </w:r>
      <w:r w:rsidRPr="00B07D79">
        <w:rPr>
          <w:rFonts w:asciiTheme="minorHAnsi" w:hAnsiTheme="minorHAnsi"/>
        </w:rPr>
        <w:t>, tedy 15,4 % z</w:t>
      </w:r>
      <w:r w:rsidR="00CF2351" w:rsidRPr="00B07D79">
        <w:rPr>
          <w:rFonts w:asciiTheme="minorHAnsi" w:hAnsiTheme="minorHAnsi"/>
        </w:rPr>
        <w:t> </w:t>
      </w:r>
      <w:r w:rsidRPr="00B07D79">
        <w:rPr>
          <w:rFonts w:asciiTheme="minorHAnsi" w:hAnsiTheme="minorHAnsi"/>
        </w:rPr>
        <w:t>celkové spotřeby a</w:t>
      </w:r>
      <w:r w:rsidR="00CF2351" w:rsidRPr="00B07D79">
        <w:rPr>
          <w:rFonts w:asciiTheme="minorHAnsi" w:hAnsiTheme="minorHAnsi"/>
        </w:rPr>
        <w:t> </w:t>
      </w:r>
      <w:r w:rsidRPr="00B07D79">
        <w:rPr>
          <w:rFonts w:asciiTheme="minorHAnsi" w:hAnsiTheme="minorHAnsi"/>
        </w:rPr>
        <w:t>v roce 2022 o</w:t>
      </w:r>
      <w:r w:rsidR="00CF2351" w:rsidRPr="00B07D79">
        <w:rPr>
          <w:rFonts w:asciiTheme="minorHAnsi" w:hAnsiTheme="minorHAnsi"/>
        </w:rPr>
        <w:t> </w:t>
      </w:r>
      <w:r w:rsidRPr="00B07D79">
        <w:rPr>
          <w:rFonts w:asciiTheme="minorHAnsi" w:hAnsiTheme="minorHAnsi"/>
        </w:rPr>
        <w:t xml:space="preserve">34,8 mil. </w:t>
      </w:r>
      <w:r w:rsidRPr="00B07D79">
        <w:rPr>
          <w:rFonts w:asciiTheme="minorHAnsi" w:hAnsiTheme="minorHAnsi" w:cs="Arial"/>
        </w:rPr>
        <w:t>m</w:t>
      </w:r>
      <w:r w:rsidRPr="00B07D79">
        <w:rPr>
          <w:rFonts w:asciiTheme="minorHAnsi" w:hAnsiTheme="minorHAnsi" w:cs="Arial"/>
          <w:vertAlign w:val="superscript"/>
        </w:rPr>
        <w:t>3</w:t>
      </w:r>
      <w:r w:rsidRPr="00B07D79">
        <w:rPr>
          <w:rFonts w:asciiTheme="minorHAnsi" w:hAnsiTheme="minorHAnsi"/>
        </w:rPr>
        <w:t>, tedy 36 %. LNG se na spotřebě plynu v</w:t>
      </w:r>
      <w:r w:rsidR="00CF2351" w:rsidRPr="00B07D79">
        <w:rPr>
          <w:rFonts w:asciiTheme="minorHAnsi" w:hAnsiTheme="minorHAnsi"/>
        </w:rPr>
        <w:t> </w:t>
      </w:r>
      <w:r w:rsidRPr="00B07D79">
        <w:rPr>
          <w:rFonts w:asciiTheme="minorHAnsi" w:hAnsiTheme="minorHAnsi"/>
        </w:rPr>
        <w:t xml:space="preserve">dopravě podílelo 3,8 mil. </w:t>
      </w:r>
      <w:r w:rsidRPr="00B07D79">
        <w:rPr>
          <w:rFonts w:asciiTheme="minorHAnsi" w:hAnsiTheme="minorHAnsi" w:cs="Arial"/>
        </w:rPr>
        <w:t>m</w:t>
      </w:r>
      <w:r w:rsidRPr="00B07D79">
        <w:rPr>
          <w:rFonts w:asciiTheme="minorHAnsi" w:hAnsiTheme="minorHAnsi" w:cs="Arial"/>
          <w:vertAlign w:val="superscript"/>
        </w:rPr>
        <w:t xml:space="preserve">3 </w:t>
      </w:r>
      <w:r w:rsidRPr="00B07D79">
        <w:rPr>
          <w:rFonts w:asciiTheme="minorHAnsi" w:hAnsiTheme="minorHAnsi"/>
        </w:rPr>
        <w:t>(3,9 %) v</w:t>
      </w:r>
      <w:r w:rsidR="00CF2351" w:rsidRPr="00B07D79">
        <w:rPr>
          <w:rFonts w:asciiTheme="minorHAnsi" w:hAnsiTheme="minorHAnsi"/>
        </w:rPr>
        <w:t> </w:t>
      </w:r>
      <w:r w:rsidRPr="00B07D79">
        <w:rPr>
          <w:rFonts w:asciiTheme="minorHAnsi" w:hAnsiTheme="minorHAnsi"/>
        </w:rPr>
        <w:t>roce 2021 a</w:t>
      </w:r>
      <w:r w:rsidR="00CF2351" w:rsidRPr="00B07D79">
        <w:rPr>
          <w:rFonts w:asciiTheme="minorHAnsi" w:hAnsiTheme="minorHAnsi"/>
        </w:rPr>
        <w:t> </w:t>
      </w:r>
      <w:r w:rsidRPr="00B07D79">
        <w:rPr>
          <w:rFonts w:asciiTheme="minorHAnsi" w:hAnsiTheme="minorHAnsi"/>
        </w:rPr>
        <w:t xml:space="preserve">5,17 mil. </w:t>
      </w:r>
      <w:r w:rsidRPr="00B07D79">
        <w:rPr>
          <w:rFonts w:asciiTheme="minorHAnsi" w:hAnsiTheme="minorHAnsi" w:cs="Arial"/>
        </w:rPr>
        <w:t>m</w:t>
      </w:r>
      <w:r w:rsidRPr="00B07D79">
        <w:rPr>
          <w:rFonts w:asciiTheme="minorHAnsi" w:hAnsiTheme="minorHAnsi" w:cs="Arial"/>
          <w:vertAlign w:val="superscript"/>
        </w:rPr>
        <w:t>3</w:t>
      </w:r>
      <w:r w:rsidRPr="00B07D79">
        <w:rPr>
          <w:rFonts w:asciiTheme="minorHAnsi" w:hAnsiTheme="minorHAnsi"/>
        </w:rPr>
        <w:t xml:space="preserve"> (5,4 %) v</w:t>
      </w:r>
      <w:r w:rsidR="00CF2351" w:rsidRPr="00B07D79">
        <w:rPr>
          <w:rFonts w:asciiTheme="minorHAnsi" w:hAnsiTheme="minorHAnsi"/>
        </w:rPr>
        <w:t> </w:t>
      </w:r>
      <w:r w:rsidRPr="00B07D79">
        <w:rPr>
          <w:rFonts w:asciiTheme="minorHAnsi" w:hAnsiTheme="minorHAnsi"/>
        </w:rPr>
        <w:t>roce 2022.</w:t>
      </w:r>
      <w:r w:rsidR="004E5307" w:rsidRPr="00B07D79">
        <w:rPr>
          <w:rFonts w:asciiTheme="minorHAnsi" w:hAnsiTheme="minorHAnsi"/>
        </w:rPr>
        <w:t xml:space="preserve"> </w:t>
      </w:r>
      <w:bookmarkStart w:id="297" w:name="_Toc158735908"/>
      <w:bookmarkStart w:id="298" w:name="_Toc158736284"/>
      <w:bookmarkEnd w:id="297"/>
      <w:bookmarkEnd w:id="298"/>
    </w:p>
    <w:p w14:paraId="6613E35F" w14:textId="521CF21C" w:rsidR="00B73FD9" w:rsidRPr="00B07D79" w:rsidRDefault="00B73FD9" w:rsidP="00B07D79">
      <w:pPr>
        <w:spacing w:line="276" w:lineRule="auto"/>
        <w:jc w:val="both"/>
        <w:rPr>
          <w:rFonts w:asciiTheme="minorHAnsi" w:hAnsiTheme="minorHAnsi"/>
        </w:rPr>
      </w:pPr>
      <w:r w:rsidRPr="00B07D79">
        <w:rPr>
          <w:rFonts w:asciiTheme="minorHAnsi" w:hAnsiTheme="minorHAnsi"/>
        </w:rPr>
        <w:t xml:space="preserve"> </w:t>
      </w:r>
    </w:p>
    <w:p w14:paraId="7EE8F780" w14:textId="2108EAE6" w:rsidR="00B73FD9" w:rsidRPr="0074122A" w:rsidRDefault="00B73FD9" w:rsidP="00B07D79">
      <w:pPr>
        <w:pStyle w:val="Titulek"/>
        <w:keepNext/>
        <w:spacing w:before="0" w:after="0" w:line="276" w:lineRule="auto"/>
        <w:jc w:val="both"/>
        <w:rPr>
          <w:rFonts w:asciiTheme="minorHAnsi" w:hAnsiTheme="minorHAnsi"/>
          <w:b w:val="0"/>
          <w:bCs w:val="0"/>
          <w:color w:val="385623" w:themeColor="accent6" w:themeShade="80"/>
        </w:rPr>
      </w:pPr>
      <w:r w:rsidRPr="0074122A">
        <w:rPr>
          <w:rFonts w:asciiTheme="minorHAnsi" w:hAnsiTheme="minorHAnsi"/>
          <w:b w:val="0"/>
          <w:bCs w:val="0"/>
          <w:color w:val="385623" w:themeColor="accent6" w:themeShade="80"/>
        </w:rPr>
        <w:lastRenderedPageBreak/>
        <w:t xml:space="preserve">Obrázek </w:t>
      </w:r>
      <w:r w:rsidR="007D4BC4" w:rsidRPr="0074122A">
        <w:rPr>
          <w:rFonts w:asciiTheme="minorHAnsi" w:hAnsiTheme="minorHAnsi"/>
          <w:b w:val="0"/>
          <w:bCs w:val="0"/>
          <w:color w:val="385623" w:themeColor="accent6" w:themeShade="80"/>
        </w:rPr>
        <w:t xml:space="preserve">30 </w:t>
      </w:r>
      <w:r w:rsidRPr="0074122A">
        <w:rPr>
          <w:rFonts w:asciiTheme="minorHAnsi" w:hAnsiTheme="minorHAnsi"/>
          <w:b w:val="0"/>
          <w:bCs w:val="0"/>
          <w:color w:val="385623" w:themeColor="accent6" w:themeShade="80"/>
        </w:rPr>
        <w:t>Optimalizace veřejné dobíjecí infrastruktury v</w:t>
      </w:r>
      <w:r w:rsidR="00CF2351" w:rsidRPr="0074122A">
        <w:rPr>
          <w:rFonts w:asciiTheme="minorHAnsi" w:hAnsiTheme="minorHAnsi"/>
          <w:b w:val="0"/>
          <w:bCs w:val="0"/>
          <w:color w:val="385623" w:themeColor="accent6" w:themeShade="80"/>
        </w:rPr>
        <w:t> </w:t>
      </w:r>
      <w:r w:rsidRPr="0074122A">
        <w:rPr>
          <w:rFonts w:asciiTheme="minorHAnsi" w:hAnsiTheme="minorHAnsi"/>
          <w:b w:val="0"/>
          <w:bCs w:val="0"/>
          <w:color w:val="385623" w:themeColor="accent6" w:themeShade="80"/>
        </w:rPr>
        <w:t xml:space="preserve">ČR </w:t>
      </w:r>
    </w:p>
    <w:p w14:paraId="255B9664" w14:textId="30EEB109" w:rsidR="00B73FD9" w:rsidRPr="00B07D79" w:rsidRDefault="00B73FD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500A6B21" wp14:editId="3ABCA80E">
            <wp:extent cx="5334000" cy="2257425"/>
            <wp:effectExtent l="0" t="0" r="0" b="9525"/>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34565" cy="2257664"/>
                    </a:xfrm>
                    <a:prstGeom prst="rect">
                      <a:avLst/>
                    </a:prstGeom>
                    <a:noFill/>
                    <a:ln>
                      <a:noFill/>
                    </a:ln>
                  </pic:spPr>
                </pic:pic>
              </a:graphicData>
            </a:graphic>
          </wp:inline>
        </w:drawing>
      </w:r>
    </w:p>
    <w:p w14:paraId="750AA294" w14:textId="33E2DA57" w:rsidR="00E46C57" w:rsidRPr="005E2F84" w:rsidRDefault="00B73FD9" w:rsidP="005E2F84">
      <w:pPr>
        <w:spacing w:line="276" w:lineRule="auto"/>
        <w:jc w:val="right"/>
        <w:rPr>
          <w:rFonts w:asciiTheme="minorHAnsi" w:hAnsiTheme="minorHAnsi" w:cs="Arial"/>
          <w:iCs/>
          <w:color w:val="385623" w:themeColor="accent6" w:themeShade="80"/>
          <w:sz w:val="24"/>
          <w:szCs w:val="28"/>
        </w:rPr>
      </w:pPr>
      <w:r w:rsidRPr="005E2F84">
        <w:rPr>
          <w:rFonts w:asciiTheme="minorHAnsi" w:hAnsiTheme="minorHAnsi" w:cs="Arial"/>
          <w:i/>
          <w:color w:val="385623" w:themeColor="accent6" w:themeShade="80"/>
          <w:sz w:val="20"/>
          <w:szCs w:val="20"/>
        </w:rPr>
        <w:t>Zdroj:</w:t>
      </w:r>
      <w:r w:rsidRPr="005E2F84">
        <w:rPr>
          <w:rFonts w:asciiTheme="minorHAnsi" w:hAnsiTheme="minorHAnsi" w:cs="Arial"/>
          <w:iCs/>
          <w:color w:val="385623" w:themeColor="accent6" w:themeShade="80"/>
          <w:sz w:val="20"/>
          <w:szCs w:val="20"/>
        </w:rPr>
        <w:t xml:space="preserve"> </w:t>
      </w:r>
      <w:hyperlink r:id="rId70" w:anchor="statistiky" w:history="1">
        <w:r w:rsidRPr="005E2F84">
          <w:rPr>
            <w:rStyle w:val="Hypertextovodkaz"/>
            <w:rFonts w:asciiTheme="minorHAnsi" w:hAnsiTheme="minorHAnsi" w:cs="Arial"/>
            <w:iCs/>
            <w:color w:val="385623" w:themeColor="accent6" w:themeShade="80"/>
            <w:sz w:val="20"/>
            <w:szCs w:val="20"/>
            <w:u w:val="none"/>
          </w:rPr>
          <w:t>https://www.plynovamobilita.cz/#statistiky</w:t>
        </w:r>
      </w:hyperlink>
      <w:r w:rsidRPr="005E2F84">
        <w:rPr>
          <w:rFonts w:asciiTheme="minorHAnsi" w:hAnsiTheme="minorHAnsi" w:cs="Arial"/>
          <w:iCs/>
          <w:color w:val="385623" w:themeColor="accent6" w:themeShade="80"/>
          <w:sz w:val="24"/>
          <w:szCs w:val="28"/>
        </w:rPr>
        <w:t xml:space="preserve"> </w:t>
      </w:r>
      <w:bookmarkStart w:id="299" w:name="_Toc152329836"/>
      <w:bookmarkStart w:id="300" w:name="_Toc159264342"/>
      <w:bookmarkStart w:id="301" w:name="_Toc153208247"/>
      <w:bookmarkStart w:id="302" w:name="_Toc159332175"/>
      <w:bookmarkStart w:id="303" w:name="_Toc159336656"/>
      <w:bookmarkStart w:id="304" w:name="_Toc160021759"/>
      <w:bookmarkStart w:id="305" w:name="_Toc162447449"/>
    </w:p>
    <w:p w14:paraId="35C12681" w14:textId="7CF55122" w:rsidR="00DE4EFB" w:rsidRPr="00B07D79" w:rsidRDefault="00DE4EFB" w:rsidP="0074122A">
      <w:pPr>
        <w:pStyle w:val="Nadpis1"/>
      </w:pPr>
      <w:bookmarkStart w:id="306" w:name="_Toc173240084"/>
      <w:r w:rsidRPr="00B07D79">
        <w:t>Vyhodnocení dosavadního vývoje při zavádění alternativních paliv</w:t>
      </w:r>
      <w:bookmarkEnd w:id="299"/>
      <w:bookmarkEnd w:id="300"/>
      <w:bookmarkEnd w:id="301"/>
      <w:bookmarkEnd w:id="302"/>
      <w:bookmarkEnd w:id="303"/>
      <w:bookmarkEnd w:id="304"/>
      <w:bookmarkEnd w:id="305"/>
      <w:r w:rsidR="001332C0" w:rsidRPr="00B07D79">
        <w:t xml:space="preserve"> v</w:t>
      </w:r>
      <w:r w:rsidR="00CF2351" w:rsidRPr="00B07D79">
        <w:t> </w:t>
      </w:r>
      <w:r w:rsidR="001332C0" w:rsidRPr="00B07D79">
        <w:t>železniční dopravě</w:t>
      </w:r>
      <w:bookmarkEnd w:id="306"/>
      <w:r w:rsidR="004A69AB" w:rsidRPr="00B07D79">
        <w:t xml:space="preserve"> </w:t>
      </w:r>
    </w:p>
    <w:p w14:paraId="294FE804" w14:textId="7CEE6922" w:rsidR="00DE4EFB" w:rsidRPr="00B07D79" w:rsidRDefault="005A7524" w:rsidP="00B07D79">
      <w:pPr>
        <w:spacing w:line="276" w:lineRule="auto"/>
        <w:jc w:val="both"/>
        <w:rPr>
          <w:rFonts w:asciiTheme="minorHAnsi" w:hAnsiTheme="minorHAnsi"/>
        </w:rPr>
      </w:pPr>
      <w:r w:rsidRPr="00B07D79">
        <w:rPr>
          <w:rFonts w:asciiTheme="minorHAnsi" w:hAnsiTheme="minorHAnsi" w:cs="Arial"/>
        </w:rPr>
        <w:t>V oblasti železniční dopravy je základním nástrojem pro vytvoření intramodálních úspor její dekarbonizace. Ta je řešena náhradou pohonu vozidel spalovacími motory elektrickou vozbou, a</w:t>
      </w:r>
      <w:r w:rsidR="00CF2351" w:rsidRPr="00B07D79">
        <w:rPr>
          <w:rFonts w:asciiTheme="minorHAnsi" w:hAnsiTheme="minorHAnsi" w:cs="Arial"/>
        </w:rPr>
        <w:t> </w:t>
      </w:r>
      <w:r w:rsidRPr="00B07D79">
        <w:rPr>
          <w:rFonts w:asciiTheme="minorHAnsi" w:hAnsiTheme="minorHAnsi" w:cs="Arial"/>
        </w:rPr>
        <w:t>to prioritně rozvojem liniové elektrifikace železničních tratí s</w:t>
      </w:r>
      <w:r w:rsidR="00CF2351" w:rsidRPr="00B07D79">
        <w:rPr>
          <w:rFonts w:asciiTheme="minorHAnsi" w:hAnsiTheme="minorHAnsi" w:cs="Arial"/>
        </w:rPr>
        <w:t> </w:t>
      </w:r>
      <w:r w:rsidRPr="00B07D79">
        <w:rPr>
          <w:rFonts w:asciiTheme="minorHAnsi" w:hAnsiTheme="minorHAnsi" w:cs="Arial"/>
        </w:rPr>
        <w:t>jednotným systémem 25 kV, který se vyznačuje vysokou účinností i</w:t>
      </w:r>
      <w:r w:rsidR="00CF2351" w:rsidRPr="00B07D79">
        <w:rPr>
          <w:rFonts w:asciiTheme="minorHAnsi" w:hAnsiTheme="minorHAnsi" w:cs="Arial"/>
        </w:rPr>
        <w:t> </w:t>
      </w:r>
      <w:r w:rsidRPr="00B07D79">
        <w:rPr>
          <w:rFonts w:asciiTheme="minorHAnsi" w:hAnsiTheme="minorHAnsi" w:cs="Arial"/>
        </w:rPr>
        <w:t>vysokou výkonností.</w:t>
      </w:r>
      <w:r w:rsidR="009C1765" w:rsidRPr="00B07D79">
        <w:rPr>
          <w:rFonts w:asciiTheme="minorHAnsi" w:hAnsiTheme="minorHAnsi" w:cs="Arial"/>
        </w:rPr>
        <w:t xml:space="preserve"> Níže uvedená tabulka obsahuje porovnání e</w:t>
      </w:r>
      <w:r w:rsidR="00DE4EFB" w:rsidRPr="00B07D79">
        <w:rPr>
          <w:rFonts w:asciiTheme="minorHAnsi" w:hAnsiTheme="minorHAnsi"/>
        </w:rPr>
        <w:t>misní</w:t>
      </w:r>
      <w:r w:rsidR="009C1765" w:rsidRPr="00B07D79">
        <w:rPr>
          <w:rFonts w:asciiTheme="minorHAnsi" w:hAnsiTheme="minorHAnsi"/>
        </w:rPr>
        <w:t xml:space="preserve">ch </w:t>
      </w:r>
      <w:r w:rsidR="00DE4EFB" w:rsidRPr="00B07D79">
        <w:rPr>
          <w:rFonts w:asciiTheme="minorHAnsi" w:hAnsiTheme="minorHAnsi"/>
        </w:rPr>
        <w:t>faktor</w:t>
      </w:r>
      <w:r w:rsidR="009C1765" w:rsidRPr="00B07D79">
        <w:rPr>
          <w:rFonts w:asciiTheme="minorHAnsi" w:hAnsiTheme="minorHAnsi"/>
        </w:rPr>
        <w:t>ů</w:t>
      </w:r>
      <w:r w:rsidR="00DE4EFB" w:rsidRPr="00B07D79">
        <w:rPr>
          <w:rFonts w:asciiTheme="minorHAnsi" w:hAnsiTheme="minorHAnsi"/>
        </w:rPr>
        <w:t xml:space="preserve"> sledovaných polutantů železniční dopravy</w:t>
      </w:r>
      <w:r w:rsidR="005814ED" w:rsidRPr="00B07D79">
        <w:rPr>
          <w:rFonts w:asciiTheme="minorHAnsi" w:hAnsiTheme="minorHAnsi"/>
        </w:rPr>
        <w:t xml:space="preserve"> realizované </w:t>
      </w:r>
      <w:r w:rsidR="00060EC2" w:rsidRPr="00B07D79">
        <w:rPr>
          <w:rFonts w:asciiTheme="minorHAnsi" w:hAnsiTheme="minorHAnsi"/>
        </w:rPr>
        <w:t>dieselovými a</w:t>
      </w:r>
      <w:r w:rsidR="00CF2351" w:rsidRPr="00B07D79">
        <w:rPr>
          <w:rFonts w:asciiTheme="minorHAnsi" w:hAnsiTheme="minorHAnsi"/>
        </w:rPr>
        <w:t> </w:t>
      </w:r>
      <w:r w:rsidR="00060EC2" w:rsidRPr="00B07D79">
        <w:rPr>
          <w:rFonts w:asciiTheme="minorHAnsi" w:hAnsiTheme="minorHAnsi"/>
        </w:rPr>
        <w:t xml:space="preserve">elektrickými </w:t>
      </w:r>
      <w:r w:rsidR="00A85A9C" w:rsidRPr="00B07D79">
        <w:rPr>
          <w:rFonts w:asciiTheme="minorHAnsi" w:hAnsiTheme="minorHAnsi"/>
        </w:rPr>
        <w:t xml:space="preserve">železničními jednotkami/lokomotivami.   </w:t>
      </w:r>
      <w:r w:rsidR="00060EC2" w:rsidRPr="00B07D79">
        <w:rPr>
          <w:rFonts w:asciiTheme="minorHAnsi" w:hAnsiTheme="minorHAnsi"/>
        </w:rPr>
        <w:t xml:space="preserve"> </w:t>
      </w:r>
    </w:p>
    <w:p w14:paraId="3F88D6A1" w14:textId="7DEF2880" w:rsidR="00DE4EFB" w:rsidRPr="005E2F84" w:rsidRDefault="00DE4EFB"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Tabulka </w:t>
      </w:r>
      <w:r w:rsidR="003D774B" w:rsidRPr="005E2F84">
        <w:rPr>
          <w:rFonts w:asciiTheme="minorHAnsi" w:hAnsiTheme="minorHAnsi"/>
          <w:b w:val="0"/>
          <w:bCs w:val="0"/>
          <w:color w:val="385623" w:themeColor="accent6" w:themeShade="80"/>
        </w:rPr>
        <w:fldChar w:fldCharType="begin"/>
      </w:r>
      <w:r w:rsidR="003D774B" w:rsidRPr="005E2F84">
        <w:rPr>
          <w:rFonts w:asciiTheme="minorHAnsi" w:hAnsiTheme="minorHAnsi"/>
          <w:b w:val="0"/>
          <w:bCs w:val="0"/>
          <w:color w:val="385623" w:themeColor="accent6" w:themeShade="80"/>
        </w:rPr>
        <w:instrText xml:space="preserve"> SEQ Tabulka \* ARABIC </w:instrText>
      </w:r>
      <w:r w:rsidR="003D774B" w:rsidRPr="005E2F84">
        <w:rPr>
          <w:rFonts w:asciiTheme="minorHAnsi" w:hAnsiTheme="minorHAnsi"/>
          <w:b w:val="0"/>
          <w:bCs w:val="0"/>
          <w:color w:val="385623" w:themeColor="accent6" w:themeShade="80"/>
        </w:rPr>
        <w:fldChar w:fldCharType="separate"/>
      </w:r>
      <w:r w:rsidR="00E46C57" w:rsidRPr="005E2F84">
        <w:rPr>
          <w:rFonts w:asciiTheme="minorHAnsi" w:hAnsiTheme="minorHAnsi"/>
          <w:b w:val="0"/>
          <w:bCs w:val="0"/>
          <w:noProof/>
          <w:color w:val="385623" w:themeColor="accent6" w:themeShade="80"/>
        </w:rPr>
        <w:t>5</w:t>
      </w:r>
      <w:r w:rsidR="003D774B" w:rsidRPr="005E2F84">
        <w:rPr>
          <w:rFonts w:asciiTheme="minorHAnsi" w:hAnsiTheme="minorHAnsi"/>
          <w:b w:val="0"/>
          <w:bCs w:val="0"/>
          <w:noProof/>
          <w:color w:val="385623" w:themeColor="accent6" w:themeShade="80"/>
        </w:rPr>
        <w:fldChar w:fldCharType="end"/>
      </w:r>
      <w:r w:rsidRPr="005E2F84">
        <w:rPr>
          <w:rFonts w:asciiTheme="minorHAnsi" w:hAnsiTheme="minorHAnsi"/>
          <w:b w:val="0"/>
          <w:bCs w:val="0"/>
          <w:color w:val="385623" w:themeColor="accent6" w:themeShade="80"/>
        </w:rPr>
        <w:t xml:space="preserve"> Emisní faktory sledovaných polutantů železniční dopravy</w:t>
      </w:r>
    </w:p>
    <w:tbl>
      <w:tblPr>
        <w:tblStyle w:val="Mkatabulky"/>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83"/>
        <w:gridCol w:w="1301"/>
        <w:gridCol w:w="1359"/>
        <w:gridCol w:w="1195"/>
        <w:gridCol w:w="1273"/>
        <w:gridCol w:w="1273"/>
        <w:gridCol w:w="1278"/>
      </w:tblGrid>
      <w:tr w:rsidR="00DE4EFB" w:rsidRPr="00B07D79" w14:paraId="0745FDDD" w14:textId="77777777" w:rsidTr="005E2F84">
        <w:tc>
          <w:tcPr>
            <w:tcW w:w="9062" w:type="dxa"/>
            <w:gridSpan w:val="7"/>
            <w:shd w:val="clear" w:color="auto" w:fill="70AD47" w:themeFill="accent6"/>
            <w:tcMar>
              <w:top w:w="0" w:type="dxa"/>
              <w:left w:w="28" w:type="dxa"/>
              <w:bottom w:w="0" w:type="dxa"/>
              <w:right w:w="28" w:type="dxa"/>
            </w:tcMar>
            <w:hideMark/>
          </w:tcPr>
          <w:p w14:paraId="7F9EB9AC" w14:textId="77777777" w:rsidR="00DE4EFB" w:rsidRPr="005E2F84" w:rsidRDefault="00DE4EFB" w:rsidP="00B07D79">
            <w:pPr>
              <w:spacing w:line="276" w:lineRule="auto"/>
              <w:jc w:val="both"/>
              <w:rPr>
                <w:rFonts w:asciiTheme="minorHAnsi" w:hAnsiTheme="minorHAnsi" w:cs="Arial"/>
                <w:kern w:val="2"/>
                <w:sz w:val="24"/>
                <w14:ligatures w14:val="standardContextual"/>
              </w:rPr>
            </w:pPr>
            <w:r w:rsidRPr="005E2F84">
              <w:rPr>
                <w:rFonts w:asciiTheme="minorHAnsi" w:hAnsiTheme="minorHAnsi" w:cs="Arial"/>
                <w:kern w:val="2"/>
                <w14:ligatures w14:val="standardContextual"/>
              </w:rPr>
              <w:t>EMISNÍ FAKTORY sledovaných polutantů železniční dopravy</w:t>
            </w:r>
          </w:p>
        </w:tc>
      </w:tr>
      <w:tr w:rsidR="00DE4EFB" w:rsidRPr="00B07D79" w14:paraId="6CE218E3" w14:textId="77777777" w:rsidTr="005E2F84">
        <w:tc>
          <w:tcPr>
            <w:tcW w:w="9062" w:type="dxa"/>
            <w:gridSpan w:val="7"/>
            <w:shd w:val="clear" w:color="auto" w:fill="70AD47" w:themeFill="accent6"/>
            <w:tcMar>
              <w:top w:w="0" w:type="dxa"/>
              <w:left w:w="28" w:type="dxa"/>
              <w:bottom w:w="0" w:type="dxa"/>
              <w:right w:w="28" w:type="dxa"/>
            </w:tcMar>
            <w:hideMark/>
          </w:tcPr>
          <w:p w14:paraId="2328BCDC" w14:textId="231D4A2B" w:rsidR="00DE4EFB" w:rsidRPr="005E2F84" w:rsidRDefault="00DE4EFB" w:rsidP="00B07D79">
            <w:pPr>
              <w:spacing w:line="276" w:lineRule="auto"/>
              <w:jc w:val="both"/>
              <w:rPr>
                <w:rFonts w:asciiTheme="minorHAnsi" w:hAnsiTheme="minorHAnsi" w:cs="Arial"/>
                <w:kern w:val="2"/>
                <w:szCs w:val="22"/>
                <w14:ligatures w14:val="standardContextual"/>
              </w:rPr>
            </w:pPr>
            <w:r w:rsidRPr="005E2F84">
              <w:rPr>
                <w:rFonts w:asciiTheme="minorHAnsi" w:hAnsiTheme="minorHAnsi" w:cs="Arial"/>
                <w:kern w:val="2"/>
                <w14:ligatures w14:val="standardContextual"/>
              </w:rPr>
              <w:t>emisní faktor – OSOBNÍ DOPRAVA</w:t>
            </w:r>
            <w:r w:rsidR="00E95782" w:rsidRPr="005E2F84">
              <w:rPr>
                <w:rStyle w:val="Znakapoznpodarou"/>
                <w:rFonts w:asciiTheme="minorHAnsi" w:hAnsiTheme="minorHAnsi" w:cs="Arial"/>
                <w:kern w:val="2"/>
                <w14:ligatures w14:val="standardContextual"/>
              </w:rPr>
              <w:footnoteReference w:id="23"/>
            </w:r>
          </w:p>
        </w:tc>
      </w:tr>
      <w:tr w:rsidR="00EF4DCB" w:rsidRPr="00B07D79" w14:paraId="2709FAB8" w14:textId="77777777" w:rsidTr="005E2F84">
        <w:tc>
          <w:tcPr>
            <w:tcW w:w="1383" w:type="dxa"/>
            <w:shd w:val="clear" w:color="auto" w:fill="A8D08D" w:themeFill="accent6" w:themeFillTint="99"/>
            <w:tcMar>
              <w:top w:w="0" w:type="dxa"/>
              <w:left w:w="28" w:type="dxa"/>
              <w:bottom w:w="0" w:type="dxa"/>
              <w:right w:w="28" w:type="dxa"/>
            </w:tcMar>
            <w:vAlign w:val="center"/>
          </w:tcPr>
          <w:p w14:paraId="38E1BBEB"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dopravní mód,</w:t>
            </w:r>
          </w:p>
          <w:p w14:paraId="46F2FF29"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jednotka</w:t>
            </w:r>
          </w:p>
        </w:tc>
        <w:tc>
          <w:tcPr>
            <w:tcW w:w="1301" w:type="dxa"/>
            <w:shd w:val="clear" w:color="auto" w:fill="A8D08D" w:themeFill="accent6" w:themeFillTint="99"/>
            <w:tcMar>
              <w:top w:w="0" w:type="dxa"/>
              <w:left w:w="28" w:type="dxa"/>
              <w:bottom w:w="0" w:type="dxa"/>
              <w:right w:w="28" w:type="dxa"/>
            </w:tcMar>
            <w:vAlign w:val="center"/>
            <w:hideMark/>
          </w:tcPr>
          <w:p w14:paraId="7333AB19"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polutant</w:t>
            </w:r>
          </w:p>
        </w:tc>
        <w:tc>
          <w:tcPr>
            <w:tcW w:w="1359" w:type="dxa"/>
            <w:shd w:val="clear" w:color="auto" w:fill="A8D08D" w:themeFill="accent6" w:themeFillTint="99"/>
            <w:tcMar>
              <w:top w:w="0" w:type="dxa"/>
              <w:left w:w="28" w:type="dxa"/>
              <w:bottom w:w="0" w:type="dxa"/>
              <w:right w:w="28" w:type="dxa"/>
            </w:tcMar>
            <w:vAlign w:val="center"/>
            <w:hideMark/>
          </w:tcPr>
          <w:p w14:paraId="2037CACE"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CO</w:t>
            </w:r>
            <w:r w:rsidRPr="00B07D79">
              <w:rPr>
                <w:rFonts w:asciiTheme="minorHAnsi" w:hAnsiTheme="minorHAnsi" w:cs="Arial"/>
                <w:kern w:val="2"/>
                <w:sz w:val="20"/>
                <w:szCs w:val="22"/>
                <w:vertAlign w:val="subscript"/>
                <w14:ligatures w14:val="standardContextual"/>
              </w:rPr>
              <w:t>2</w:t>
            </w:r>
          </w:p>
        </w:tc>
        <w:tc>
          <w:tcPr>
            <w:tcW w:w="1195" w:type="dxa"/>
            <w:shd w:val="clear" w:color="auto" w:fill="A8D08D" w:themeFill="accent6" w:themeFillTint="99"/>
            <w:tcMar>
              <w:top w:w="0" w:type="dxa"/>
              <w:left w:w="28" w:type="dxa"/>
              <w:bottom w:w="0" w:type="dxa"/>
              <w:right w:w="28" w:type="dxa"/>
            </w:tcMar>
            <w:vAlign w:val="center"/>
            <w:hideMark/>
          </w:tcPr>
          <w:p w14:paraId="176C09E5"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NOx</w:t>
            </w:r>
          </w:p>
        </w:tc>
        <w:tc>
          <w:tcPr>
            <w:tcW w:w="1273" w:type="dxa"/>
            <w:shd w:val="clear" w:color="auto" w:fill="A8D08D" w:themeFill="accent6" w:themeFillTint="99"/>
            <w:tcMar>
              <w:top w:w="0" w:type="dxa"/>
              <w:left w:w="28" w:type="dxa"/>
              <w:bottom w:w="0" w:type="dxa"/>
              <w:right w:w="28" w:type="dxa"/>
            </w:tcMar>
            <w:vAlign w:val="center"/>
            <w:hideMark/>
          </w:tcPr>
          <w:p w14:paraId="26C44D7E"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SO</w:t>
            </w:r>
            <w:r w:rsidRPr="00B07D79">
              <w:rPr>
                <w:rFonts w:asciiTheme="minorHAnsi" w:hAnsiTheme="minorHAnsi" w:cs="Arial"/>
                <w:kern w:val="2"/>
                <w:sz w:val="20"/>
                <w:szCs w:val="22"/>
                <w:vertAlign w:val="subscript"/>
                <w14:ligatures w14:val="standardContextual"/>
              </w:rPr>
              <w:t>2</w:t>
            </w:r>
          </w:p>
        </w:tc>
        <w:tc>
          <w:tcPr>
            <w:tcW w:w="1273" w:type="dxa"/>
            <w:shd w:val="clear" w:color="auto" w:fill="A8D08D" w:themeFill="accent6" w:themeFillTint="99"/>
            <w:tcMar>
              <w:top w:w="0" w:type="dxa"/>
              <w:left w:w="28" w:type="dxa"/>
              <w:bottom w:w="0" w:type="dxa"/>
              <w:right w:w="28" w:type="dxa"/>
            </w:tcMar>
            <w:vAlign w:val="center"/>
            <w:hideMark/>
          </w:tcPr>
          <w:p w14:paraId="53DD9032"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PM2,5</w:t>
            </w:r>
          </w:p>
        </w:tc>
        <w:tc>
          <w:tcPr>
            <w:tcW w:w="1278" w:type="dxa"/>
            <w:shd w:val="clear" w:color="auto" w:fill="A8D08D" w:themeFill="accent6" w:themeFillTint="99"/>
            <w:tcMar>
              <w:top w:w="0" w:type="dxa"/>
              <w:left w:w="28" w:type="dxa"/>
              <w:bottom w:w="0" w:type="dxa"/>
              <w:right w:w="28" w:type="dxa"/>
            </w:tcMar>
            <w:vAlign w:val="center"/>
            <w:hideMark/>
          </w:tcPr>
          <w:p w14:paraId="75F1BB8E"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PM10</w:t>
            </w:r>
          </w:p>
        </w:tc>
      </w:tr>
      <w:tr w:rsidR="00EF4DCB" w:rsidRPr="00B07D79" w14:paraId="0BABAEAF" w14:textId="77777777" w:rsidTr="005E2F84">
        <w:tc>
          <w:tcPr>
            <w:tcW w:w="1383" w:type="dxa"/>
            <w:vMerge w:val="restart"/>
            <w:shd w:val="clear" w:color="auto" w:fill="A8D08D" w:themeFill="accent6" w:themeFillTint="99"/>
            <w:tcMar>
              <w:top w:w="0" w:type="dxa"/>
              <w:left w:w="28" w:type="dxa"/>
              <w:bottom w:w="0" w:type="dxa"/>
              <w:right w:w="28" w:type="dxa"/>
            </w:tcMar>
            <w:vAlign w:val="center"/>
            <w:hideMark/>
          </w:tcPr>
          <w:p w14:paraId="25232833"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ŽELEZNIČNÍ</w:t>
            </w:r>
          </w:p>
          <w:p w14:paraId="50C9F069"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DOPRAVA</w:t>
            </w:r>
          </w:p>
          <w:p w14:paraId="6E18DBB6"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[g/</w:t>
            </w:r>
            <w:proofErr w:type="spellStart"/>
            <w:r w:rsidRPr="00B07D79">
              <w:rPr>
                <w:rFonts w:asciiTheme="minorHAnsi" w:hAnsiTheme="minorHAnsi" w:cs="Arial"/>
                <w:kern w:val="2"/>
                <w:sz w:val="20"/>
                <w:szCs w:val="22"/>
                <w14:ligatures w14:val="standardContextual"/>
              </w:rPr>
              <w:t>vlkm</w:t>
            </w:r>
            <w:proofErr w:type="spellEnd"/>
            <w:r w:rsidRPr="00B07D79">
              <w:rPr>
                <w:rFonts w:asciiTheme="minorHAnsi" w:hAnsiTheme="minorHAnsi" w:cs="Arial"/>
                <w:kern w:val="2"/>
                <w:sz w:val="20"/>
                <w:szCs w:val="22"/>
                <w14:ligatures w14:val="standardContextual"/>
              </w:rPr>
              <w:t>]</w:t>
            </w:r>
          </w:p>
        </w:tc>
        <w:tc>
          <w:tcPr>
            <w:tcW w:w="1301" w:type="dxa"/>
            <w:shd w:val="clear" w:color="auto" w:fill="A8D08D" w:themeFill="accent6" w:themeFillTint="99"/>
            <w:tcMar>
              <w:top w:w="0" w:type="dxa"/>
              <w:left w:w="28" w:type="dxa"/>
              <w:bottom w:w="0" w:type="dxa"/>
              <w:right w:w="28" w:type="dxa"/>
            </w:tcMar>
            <w:vAlign w:val="center"/>
            <w:hideMark/>
          </w:tcPr>
          <w:p w14:paraId="4AB1C0B7"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DIESEL regionální</w:t>
            </w:r>
          </w:p>
        </w:tc>
        <w:tc>
          <w:tcPr>
            <w:tcW w:w="1359" w:type="dxa"/>
            <w:shd w:val="clear" w:color="auto" w:fill="A8D08D" w:themeFill="accent6" w:themeFillTint="99"/>
            <w:tcMar>
              <w:top w:w="0" w:type="dxa"/>
              <w:left w:w="28" w:type="dxa"/>
              <w:bottom w:w="0" w:type="dxa"/>
              <w:right w:w="28" w:type="dxa"/>
            </w:tcMar>
            <w:vAlign w:val="center"/>
            <w:hideMark/>
          </w:tcPr>
          <w:p w14:paraId="203B0007"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2 766,0000</w:t>
            </w:r>
          </w:p>
        </w:tc>
        <w:tc>
          <w:tcPr>
            <w:tcW w:w="1195" w:type="dxa"/>
            <w:shd w:val="clear" w:color="auto" w:fill="A8D08D" w:themeFill="accent6" w:themeFillTint="99"/>
            <w:tcMar>
              <w:top w:w="0" w:type="dxa"/>
              <w:left w:w="28" w:type="dxa"/>
              <w:bottom w:w="0" w:type="dxa"/>
              <w:right w:w="28" w:type="dxa"/>
            </w:tcMar>
            <w:vAlign w:val="center"/>
            <w:hideMark/>
          </w:tcPr>
          <w:p w14:paraId="127CD454"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0,2060</w:t>
            </w:r>
          </w:p>
        </w:tc>
        <w:tc>
          <w:tcPr>
            <w:tcW w:w="1273" w:type="dxa"/>
            <w:shd w:val="clear" w:color="auto" w:fill="A8D08D" w:themeFill="accent6" w:themeFillTint="99"/>
            <w:tcMar>
              <w:top w:w="0" w:type="dxa"/>
              <w:left w:w="28" w:type="dxa"/>
              <w:bottom w:w="0" w:type="dxa"/>
              <w:right w:w="28" w:type="dxa"/>
            </w:tcMar>
            <w:vAlign w:val="center"/>
            <w:hideMark/>
          </w:tcPr>
          <w:p w14:paraId="59EA4E71"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0,0020</w:t>
            </w:r>
          </w:p>
        </w:tc>
        <w:tc>
          <w:tcPr>
            <w:tcW w:w="1273" w:type="dxa"/>
            <w:shd w:val="clear" w:color="auto" w:fill="A8D08D" w:themeFill="accent6" w:themeFillTint="99"/>
            <w:tcMar>
              <w:top w:w="0" w:type="dxa"/>
              <w:left w:w="28" w:type="dxa"/>
              <w:bottom w:w="0" w:type="dxa"/>
              <w:right w:w="28" w:type="dxa"/>
            </w:tcMar>
            <w:vAlign w:val="center"/>
            <w:hideMark/>
          </w:tcPr>
          <w:p w14:paraId="0CD01A2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0,3370</w:t>
            </w:r>
          </w:p>
        </w:tc>
        <w:tc>
          <w:tcPr>
            <w:tcW w:w="1278" w:type="dxa"/>
            <w:shd w:val="clear" w:color="auto" w:fill="A8D08D" w:themeFill="accent6" w:themeFillTint="99"/>
            <w:tcMar>
              <w:top w:w="0" w:type="dxa"/>
              <w:left w:w="28" w:type="dxa"/>
              <w:bottom w:w="0" w:type="dxa"/>
              <w:right w:w="28" w:type="dxa"/>
            </w:tcMar>
            <w:vAlign w:val="center"/>
            <w:hideMark/>
          </w:tcPr>
          <w:p w14:paraId="2688CAA6"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1,9870</w:t>
            </w:r>
          </w:p>
        </w:tc>
      </w:tr>
      <w:tr w:rsidR="00EF4DCB" w:rsidRPr="00B07D79" w14:paraId="0F2752EB" w14:textId="77777777" w:rsidTr="005E2F84">
        <w:tc>
          <w:tcPr>
            <w:tcW w:w="0" w:type="auto"/>
            <w:vMerge/>
            <w:shd w:val="clear" w:color="auto" w:fill="A8D08D" w:themeFill="accent6" w:themeFillTint="99"/>
            <w:vAlign w:val="center"/>
            <w:hideMark/>
          </w:tcPr>
          <w:p w14:paraId="04843948" w14:textId="77777777" w:rsidR="00DE4EFB" w:rsidRPr="00B07D79" w:rsidRDefault="00DE4EFB" w:rsidP="00B07D79">
            <w:pPr>
              <w:spacing w:line="276" w:lineRule="auto"/>
              <w:jc w:val="both"/>
              <w:rPr>
                <w:rFonts w:asciiTheme="minorHAnsi" w:hAnsiTheme="minorHAnsi" w:cs="Arial"/>
                <w:kern w:val="2"/>
                <w:sz w:val="20"/>
                <w:szCs w:val="22"/>
                <w:lang w:eastAsia="en-US"/>
                <w14:ligatures w14:val="standardContextual"/>
              </w:rPr>
            </w:pPr>
          </w:p>
        </w:tc>
        <w:tc>
          <w:tcPr>
            <w:tcW w:w="1301" w:type="dxa"/>
            <w:shd w:val="clear" w:color="auto" w:fill="A8D08D" w:themeFill="accent6" w:themeFillTint="99"/>
            <w:tcMar>
              <w:top w:w="0" w:type="dxa"/>
              <w:left w:w="28" w:type="dxa"/>
              <w:bottom w:w="0" w:type="dxa"/>
              <w:right w:w="28" w:type="dxa"/>
            </w:tcMar>
            <w:vAlign w:val="center"/>
            <w:hideMark/>
          </w:tcPr>
          <w:p w14:paraId="5F964297"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ELEKTRICKÁ regionální</w:t>
            </w:r>
          </w:p>
        </w:tc>
        <w:tc>
          <w:tcPr>
            <w:tcW w:w="1359" w:type="dxa"/>
            <w:shd w:val="clear" w:color="auto" w:fill="A8D08D" w:themeFill="accent6" w:themeFillTint="99"/>
            <w:tcMar>
              <w:top w:w="0" w:type="dxa"/>
              <w:left w:w="28" w:type="dxa"/>
              <w:bottom w:w="0" w:type="dxa"/>
              <w:right w:w="28" w:type="dxa"/>
            </w:tcMar>
            <w:vAlign w:val="center"/>
            <w:hideMark/>
          </w:tcPr>
          <w:p w14:paraId="228586FB"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1 848,0000</w:t>
            </w:r>
          </w:p>
        </w:tc>
        <w:tc>
          <w:tcPr>
            <w:tcW w:w="1195" w:type="dxa"/>
            <w:shd w:val="clear" w:color="auto" w:fill="A8D08D" w:themeFill="accent6" w:themeFillTint="99"/>
            <w:tcMar>
              <w:top w:w="0" w:type="dxa"/>
              <w:left w:w="28" w:type="dxa"/>
              <w:bottom w:w="0" w:type="dxa"/>
              <w:right w:w="28" w:type="dxa"/>
            </w:tcMar>
            <w:vAlign w:val="center"/>
            <w:hideMark/>
          </w:tcPr>
          <w:p w14:paraId="779802C7"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0,0170</w:t>
            </w:r>
          </w:p>
        </w:tc>
        <w:tc>
          <w:tcPr>
            <w:tcW w:w="1273" w:type="dxa"/>
            <w:shd w:val="clear" w:color="auto" w:fill="A8D08D" w:themeFill="accent6" w:themeFillTint="99"/>
            <w:tcMar>
              <w:top w:w="0" w:type="dxa"/>
              <w:left w:w="28" w:type="dxa"/>
              <w:bottom w:w="0" w:type="dxa"/>
              <w:right w:w="28" w:type="dxa"/>
            </w:tcMar>
            <w:vAlign w:val="center"/>
            <w:hideMark/>
          </w:tcPr>
          <w:p w14:paraId="1DAF83F5"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0,0000</w:t>
            </w:r>
          </w:p>
        </w:tc>
        <w:tc>
          <w:tcPr>
            <w:tcW w:w="1273" w:type="dxa"/>
            <w:shd w:val="clear" w:color="auto" w:fill="A8D08D" w:themeFill="accent6" w:themeFillTint="99"/>
            <w:tcMar>
              <w:top w:w="0" w:type="dxa"/>
              <w:left w:w="28" w:type="dxa"/>
              <w:bottom w:w="0" w:type="dxa"/>
              <w:right w:w="28" w:type="dxa"/>
            </w:tcMar>
            <w:vAlign w:val="center"/>
            <w:hideMark/>
          </w:tcPr>
          <w:p w14:paraId="716604A0"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0,0320</w:t>
            </w:r>
          </w:p>
        </w:tc>
        <w:tc>
          <w:tcPr>
            <w:tcW w:w="1278" w:type="dxa"/>
            <w:shd w:val="clear" w:color="auto" w:fill="A8D08D" w:themeFill="accent6" w:themeFillTint="99"/>
            <w:tcMar>
              <w:top w:w="0" w:type="dxa"/>
              <w:left w:w="28" w:type="dxa"/>
              <w:bottom w:w="0" w:type="dxa"/>
              <w:right w:w="28" w:type="dxa"/>
            </w:tcMar>
            <w:vAlign w:val="center"/>
            <w:hideMark/>
          </w:tcPr>
          <w:p w14:paraId="71CC57E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0,1880</w:t>
            </w:r>
          </w:p>
        </w:tc>
      </w:tr>
      <w:tr w:rsidR="00EF4DCB" w:rsidRPr="00B07D79" w14:paraId="7D3B0665" w14:textId="77777777" w:rsidTr="005E2F84">
        <w:tc>
          <w:tcPr>
            <w:tcW w:w="0" w:type="auto"/>
            <w:vMerge/>
            <w:shd w:val="clear" w:color="auto" w:fill="A8D08D" w:themeFill="accent6" w:themeFillTint="99"/>
            <w:vAlign w:val="center"/>
            <w:hideMark/>
          </w:tcPr>
          <w:p w14:paraId="45398398" w14:textId="77777777" w:rsidR="00DE4EFB" w:rsidRPr="00B07D79" w:rsidRDefault="00DE4EFB" w:rsidP="00B07D79">
            <w:pPr>
              <w:spacing w:line="276" w:lineRule="auto"/>
              <w:jc w:val="both"/>
              <w:rPr>
                <w:rFonts w:asciiTheme="minorHAnsi" w:hAnsiTheme="minorHAnsi" w:cs="Arial"/>
                <w:kern w:val="2"/>
                <w:sz w:val="20"/>
                <w:szCs w:val="22"/>
                <w:lang w:eastAsia="en-US"/>
                <w14:ligatures w14:val="standardContextual"/>
              </w:rPr>
            </w:pPr>
          </w:p>
        </w:tc>
        <w:tc>
          <w:tcPr>
            <w:tcW w:w="1301" w:type="dxa"/>
            <w:shd w:val="clear" w:color="auto" w:fill="A8D08D" w:themeFill="accent6" w:themeFillTint="99"/>
            <w:tcMar>
              <w:top w:w="0" w:type="dxa"/>
              <w:left w:w="28" w:type="dxa"/>
              <w:bottom w:w="0" w:type="dxa"/>
              <w:right w:w="28" w:type="dxa"/>
            </w:tcMar>
            <w:vAlign w:val="center"/>
            <w:hideMark/>
          </w:tcPr>
          <w:p w14:paraId="4A7A367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DIESEL dálková</w:t>
            </w:r>
          </w:p>
        </w:tc>
        <w:tc>
          <w:tcPr>
            <w:tcW w:w="1359" w:type="dxa"/>
            <w:shd w:val="clear" w:color="auto" w:fill="A8D08D" w:themeFill="accent6" w:themeFillTint="99"/>
            <w:tcMar>
              <w:top w:w="0" w:type="dxa"/>
              <w:left w:w="28" w:type="dxa"/>
              <w:bottom w:w="0" w:type="dxa"/>
              <w:right w:w="28" w:type="dxa"/>
            </w:tcMar>
            <w:vAlign w:val="center"/>
            <w:hideMark/>
          </w:tcPr>
          <w:p w14:paraId="4D890BD6"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9 765,0000</w:t>
            </w:r>
          </w:p>
        </w:tc>
        <w:tc>
          <w:tcPr>
            <w:tcW w:w="1195" w:type="dxa"/>
            <w:shd w:val="clear" w:color="auto" w:fill="A8D08D" w:themeFill="accent6" w:themeFillTint="99"/>
            <w:tcMar>
              <w:top w:w="0" w:type="dxa"/>
              <w:left w:w="28" w:type="dxa"/>
              <w:bottom w:w="0" w:type="dxa"/>
              <w:right w:w="28" w:type="dxa"/>
            </w:tcMar>
            <w:vAlign w:val="center"/>
            <w:hideMark/>
          </w:tcPr>
          <w:p w14:paraId="1D97F3F3"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1,0890</w:t>
            </w:r>
          </w:p>
        </w:tc>
        <w:tc>
          <w:tcPr>
            <w:tcW w:w="1273" w:type="dxa"/>
            <w:shd w:val="clear" w:color="auto" w:fill="A8D08D" w:themeFill="accent6" w:themeFillTint="99"/>
            <w:tcMar>
              <w:top w:w="0" w:type="dxa"/>
              <w:left w:w="28" w:type="dxa"/>
              <w:bottom w:w="0" w:type="dxa"/>
              <w:right w:w="28" w:type="dxa"/>
            </w:tcMar>
            <w:vAlign w:val="center"/>
            <w:hideMark/>
          </w:tcPr>
          <w:p w14:paraId="697677A2"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0,0090</w:t>
            </w:r>
          </w:p>
        </w:tc>
        <w:tc>
          <w:tcPr>
            <w:tcW w:w="1273" w:type="dxa"/>
            <w:shd w:val="clear" w:color="auto" w:fill="A8D08D" w:themeFill="accent6" w:themeFillTint="99"/>
            <w:tcMar>
              <w:top w:w="0" w:type="dxa"/>
              <w:left w:w="28" w:type="dxa"/>
              <w:bottom w:w="0" w:type="dxa"/>
              <w:right w:w="28" w:type="dxa"/>
            </w:tcMar>
            <w:vAlign w:val="center"/>
            <w:hideMark/>
          </w:tcPr>
          <w:p w14:paraId="00D87133"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1,7810</w:t>
            </w:r>
          </w:p>
        </w:tc>
        <w:tc>
          <w:tcPr>
            <w:tcW w:w="1278" w:type="dxa"/>
            <w:shd w:val="clear" w:color="auto" w:fill="A8D08D" w:themeFill="accent6" w:themeFillTint="99"/>
            <w:tcMar>
              <w:top w:w="0" w:type="dxa"/>
              <w:left w:w="28" w:type="dxa"/>
              <w:bottom w:w="0" w:type="dxa"/>
              <w:right w:w="28" w:type="dxa"/>
            </w:tcMar>
            <w:vAlign w:val="center"/>
            <w:hideMark/>
          </w:tcPr>
          <w:p w14:paraId="0A7B61D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10,5000</w:t>
            </w:r>
          </w:p>
        </w:tc>
      </w:tr>
      <w:tr w:rsidR="00EF4DCB" w:rsidRPr="00B07D79" w14:paraId="76D98326" w14:textId="77777777" w:rsidTr="005E2F84">
        <w:tc>
          <w:tcPr>
            <w:tcW w:w="0" w:type="auto"/>
            <w:vMerge/>
            <w:shd w:val="clear" w:color="auto" w:fill="A8D08D" w:themeFill="accent6" w:themeFillTint="99"/>
            <w:vAlign w:val="center"/>
            <w:hideMark/>
          </w:tcPr>
          <w:p w14:paraId="737A43C0" w14:textId="77777777" w:rsidR="00DE4EFB" w:rsidRPr="00B07D79" w:rsidRDefault="00DE4EFB" w:rsidP="00B07D79">
            <w:pPr>
              <w:spacing w:line="276" w:lineRule="auto"/>
              <w:jc w:val="both"/>
              <w:rPr>
                <w:rFonts w:asciiTheme="minorHAnsi" w:hAnsiTheme="minorHAnsi" w:cs="Arial"/>
                <w:kern w:val="2"/>
                <w:sz w:val="20"/>
                <w:szCs w:val="22"/>
                <w:lang w:eastAsia="en-US"/>
                <w14:ligatures w14:val="standardContextual"/>
              </w:rPr>
            </w:pPr>
          </w:p>
        </w:tc>
        <w:tc>
          <w:tcPr>
            <w:tcW w:w="1301" w:type="dxa"/>
            <w:shd w:val="clear" w:color="auto" w:fill="A8D08D" w:themeFill="accent6" w:themeFillTint="99"/>
            <w:tcMar>
              <w:top w:w="0" w:type="dxa"/>
              <w:left w:w="28" w:type="dxa"/>
              <w:bottom w:w="0" w:type="dxa"/>
              <w:right w:w="28" w:type="dxa"/>
            </w:tcMar>
            <w:vAlign w:val="center"/>
            <w:hideMark/>
          </w:tcPr>
          <w:p w14:paraId="3486104A"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ELEKTRICKÁ dálková</w:t>
            </w:r>
          </w:p>
        </w:tc>
        <w:tc>
          <w:tcPr>
            <w:tcW w:w="1359" w:type="dxa"/>
            <w:shd w:val="clear" w:color="auto" w:fill="A8D08D" w:themeFill="accent6" w:themeFillTint="99"/>
            <w:tcMar>
              <w:top w:w="0" w:type="dxa"/>
              <w:left w:w="28" w:type="dxa"/>
              <w:bottom w:w="0" w:type="dxa"/>
              <w:right w:w="28" w:type="dxa"/>
            </w:tcMar>
            <w:vAlign w:val="center"/>
            <w:hideMark/>
          </w:tcPr>
          <w:p w14:paraId="162BC452"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6 915,0000</w:t>
            </w:r>
          </w:p>
        </w:tc>
        <w:tc>
          <w:tcPr>
            <w:tcW w:w="1195" w:type="dxa"/>
            <w:shd w:val="clear" w:color="auto" w:fill="A8D08D" w:themeFill="accent6" w:themeFillTint="99"/>
            <w:tcMar>
              <w:top w:w="0" w:type="dxa"/>
              <w:left w:w="28" w:type="dxa"/>
              <w:bottom w:w="0" w:type="dxa"/>
              <w:right w:w="28" w:type="dxa"/>
            </w:tcMar>
            <w:vAlign w:val="center"/>
            <w:hideMark/>
          </w:tcPr>
          <w:p w14:paraId="281744A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0,0430</w:t>
            </w:r>
          </w:p>
        </w:tc>
        <w:tc>
          <w:tcPr>
            <w:tcW w:w="1273" w:type="dxa"/>
            <w:shd w:val="clear" w:color="auto" w:fill="A8D08D" w:themeFill="accent6" w:themeFillTint="99"/>
            <w:tcMar>
              <w:top w:w="0" w:type="dxa"/>
              <w:left w:w="28" w:type="dxa"/>
              <w:bottom w:w="0" w:type="dxa"/>
              <w:right w:w="28" w:type="dxa"/>
            </w:tcMar>
            <w:vAlign w:val="center"/>
            <w:hideMark/>
          </w:tcPr>
          <w:p w14:paraId="1FB24DE2"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0,0000</w:t>
            </w:r>
          </w:p>
        </w:tc>
        <w:tc>
          <w:tcPr>
            <w:tcW w:w="1273" w:type="dxa"/>
            <w:shd w:val="clear" w:color="auto" w:fill="A8D08D" w:themeFill="accent6" w:themeFillTint="99"/>
            <w:tcMar>
              <w:top w:w="0" w:type="dxa"/>
              <w:left w:w="28" w:type="dxa"/>
              <w:bottom w:w="0" w:type="dxa"/>
              <w:right w:w="28" w:type="dxa"/>
            </w:tcMar>
            <w:vAlign w:val="center"/>
            <w:hideMark/>
          </w:tcPr>
          <w:p w14:paraId="166290F3"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0,0800</w:t>
            </w:r>
          </w:p>
        </w:tc>
        <w:tc>
          <w:tcPr>
            <w:tcW w:w="1278" w:type="dxa"/>
            <w:shd w:val="clear" w:color="auto" w:fill="A8D08D" w:themeFill="accent6" w:themeFillTint="99"/>
            <w:tcMar>
              <w:top w:w="0" w:type="dxa"/>
              <w:left w:w="28" w:type="dxa"/>
              <w:bottom w:w="0" w:type="dxa"/>
              <w:right w:w="28" w:type="dxa"/>
            </w:tcMar>
            <w:vAlign w:val="center"/>
            <w:hideMark/>
          </w:tcPr>
          <w:p w14:paraId="5E5F7671"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0,4690</w:t>
            </w:r>
          </w:p>
        </w:tc>
      </w:tr>
      <w:tr w:rsidR="00DE4EFB" w:rsidRPr="00B07D79" w14:paraId="3C707FE4" w14:textId="77777777" w:rsidTr="005E2F84">
        <w:tc>
          <w:tcPr>
            <w:tcW w:w="9062" w:type="dxa"/>
            <w:gridSpan w:val="7"/>
            <w:shd w:val="clear" w:color="auto" w:fill="70AD47" w:themeFill="accent6"/>
            <w:hideMark/>
          </w:tcPr>
          <w:p w14:paraId="02B031BB" w14:textId="508C934D" w:rsidR="00DE4EFB" w:rsidRPr="00B07D79" w:rsidRDefault="00DE4EFB" w:rsidP="00B07D79">
            <w:pPr>
              <w:spacing w:line="276" w:lineRule="auto"/>
              <w:jc w:val="both"/>
              <w:rPr>
                <w:rFonts w:asciiTheme="minorHAnsi" w:hAnsiTheme="minorHAnsi" w:cs="Arial"/>
                <w:kern w:val="2"/>
                <w14:ligatures w14:val="standardContextual"/>
              </w:rPr>
            </w:pPr>
            <w:r w:rsidRPr="005E2F84">
              <w:rPr>
                <w:rFonts w:asciiTheme="minorHAnsi" w:hAnsiTheme="minorHAnsi" w:cs="Arial"/>
                <w:kern w:val="2"/>
                <w14:ligatures w14:val="standardContextual"/>
              </w:rPr>
              <w:lastRenderedPageBreak/>
              <w:t>emisní faktor – NÁKLADNÍ DOPRAVA</w:t>
            </w:r>
            <w:r w:rsidR="00A7422C" w:rsidRPr="005E2F84">
              <w:rPr>
                <w:rStyle w:val="Znakapoznpodarou"/>
                <w:rFonts w:asciiTheme="minorHAnsi" w:hAnsiTheme="minorHAnsi" w:cs="Arial"/>
                <w:kern w:val="2"/>
                <w14:ligatures w14:val="standardContextual"/>
              </w:rPr>
              <w:footnoteReference w:id="24"/>
            </w:r>
          </w:p>
        </w:tc>
      </w:tr>
      <w:tr w:rsidR="00EF4DCB" w:rsidRPr="00B07D79" w14:paraId="6908965E" w14:textId="77777777" w:rsidTr="005E2F84">
        <w:tc>
          <w:tcPr>
            <w:tcW w:w="1383" w:type="dxa"/>
            <w:vMerge w:val="restart"/>
            <w:shd w:val="clear" w:color="auto" w:fill="A8D08D" w:themeFill="accent6" w:themeFillTint="99"/>
            <w:vAlign w:val="center"/>
            <w:hideMark/>
          </w:tcPr>
          <w:p w14:paraId="42E72712"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ŽELEZNIČNÍ</w:t>
            </w:r>
          </w:p>
          <w:p w14:paraId="38D2B4D5" w14:textId="77777777" w:rsidR="00DE4EFB" w:rsidRPr="00B07D79" w:rsidRDefault="00DE4EFB" w:rsidP="00B07D79">
            <w:pPr>
              <w:autoSpaceDE w:val="0"/>
              <w:autoSpaceDN w:val="0"/>
              <w:adjustRightInd w:val="0"/>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DOPRAVA</w:t>
            </w:r>
          </w:p>
          <w:p w14:paraId="06701A50"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[g/</w:t>
            </w:r>
            <w:proofErr w:type="spellStart"/>
            <w:r w:rsidRPr="00B07D79">
              <w:rPr>
                <w:rFonts w:asciiTheme="minorHAnsi" w:hAnsiTheme="minorHAnsi" w:cs="Arial"/>
                <w:kern w:val="2"/>
                <w:sz w:val="20"/>
                <w:szCs w:val="22"/>
                <w14:ligatures w14:val="standardContextual"/>
              </w:rPr>
              <w:t>vlkm</w:t>
            </w:r>
            <w:proofErr w:type="spellEnd"/>
            <w:r w:rsidRPr="00B07D79">
              <w:rPr>
                <w:rFonts w:asciiTheme="minorHAnsi" w:hAnsiTheme="minorHAnsi" w:cs="Arial"/>
                <w:kern w:val="2"/>
                <w:sz w:val="20"/>
                <w:szCs w:val="22"/>
                <w14:ligatures w14:val="standardContextual"/>
              </w:rPr>
              <w:t>]</w:t>
            </w:r>
          </w:p>
        </w:tc>
        <w:tc>
          <w:tcPr>
            <w:tcW w:w="1301" w:type="dxa"/>
            <w:shd w:val="clear" w:color="auto" w:fill="A8D08D" w:themeFill="accent6" w:themeFillTint="99"/>
            <w:hideMark/>
          </w:tcPr>
          <w:p w14:paraId="15AE14C1"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dieselová trakce</w:t>
            </w:r>
          </w:p>
        </w:tc>
        <w:tc>
          <w:tcPr>
            <w:tcW w:w="1359" w:type="dxa"/>
            <w:shd w:val="clear" w:color="auto" w:fill="A8D08D" w:themeFill="accent6" w:themeFillTint="99"/>
            <w:vAlign w:val="center"/>
            <w:hideMark/>
          </w:tcPr>
          <w:p w14:paraId="525EF19A"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11 434,0000</w:t>
            </w:r>
          </w:p>
        </w:tc>
        <w:tc>
          <w:tcPr>
            <w:tcW w:w="1195" w:type="dxa"/>
            <w:shd w:val="clear" w:color="auto" w:fill="A8D08D" w:themeFill="accent6" w:themeFillTint="99"/>
            <w:vAlign w:val="center"/>
            <w:hideMark/>
          </w:tcPr>
          <w:p w14:paraId="1F677158"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4,3530</w:t>
            </w:r>
          </w:p>
        </w:tc>
        <w:tc>
          <w:tcPr>
            <w:tcW w:w="1273" w:type="dxa"/>
            <w:shd w:val="clear" w:color="auto" w:fill="A8D08D" w:themeFill="accent6" w:themeFillTint="99"/>
            <w:vAlign w:val="center"/>
            <w:hideMark/>
          </w:tcPr>
          <w:p w14:paraId="5E7412FC"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0,0350</w:t>
            </w:r>
          </w:p>
        </w:tc>
        <w:tc>
          <w:tcPr>
            <w:tcW w:w="1273" w:type="dxa"/>
            <w:shd w:val="clear" w:color="auto" w:fill="A8D08D" w:themeFill="accent6" w:themeFillTint="99"/>
            <w:vAlign w:val="center"/>
            <w:hideMark/>
          </w:tcPr>
          <w:p w14:paraId="26093B78"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6,9570</w:t>
            </w:r>
          </w:p>
        </w:tc>
        <w:tc>
          <w:tcPr>
            <w:tcW w:w="1278" w:type="dxa"/>
            <w:shd w:val="clear" w:color="auto" w:fill="A8D08D" w:themeFill="accent6" w:themeFillTint="99"/>
            <w:vAlign w:val="center"/>
            <w:hideMark/>
          </w:tcPr>
          <w:p w14:paraId="4B3B2FFA"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89,3010</w:t>
            </w:r>
          </w:p>
        </w:tc>
      </w:tr>
      <w:tr w:rsidR="00EF4DCB" w:rsidRPr="00B07D79" w14:paraId="2D2EDB19" w14:textId="77777777" w:rsidTr="005E2F84">
        <w:tc>
          <w:tcPr>
            <w:tcW w:w="0" w:type="auto"/>
            <w:vMerge/>
            <w:shd w:val="clear" w:color="auto" w:fill="A8D08D" w:themeFill="accent6" w:themeFillTint="99"/>
            <w:vAlign w:val="center"/>
            <w:hideMark/>
          </w:tcPr>
          <w:p w14:paraId="499D4EE0" w14:textId="77777777" w:rsidR="00DE4EFB" w:rsidRPr="00B07D79" w:rsidRDefault="00DE4EFB" w:rsidP="00B07D79">
            <w:pPr>
              <w:spacing w:line="276" w:lineRule="auto"/>
              <w:jc w:val="both"/>
              <w:rPr>
                <w:rFonts w:asciiTheme="minorHAnsi" w:hAnsiTheme="minorHAnsi" w:cs="Arial"/>
                <w:kern w:val="2"/>
                <w:sz w:val="20"/>
                <w:szCs w:val="22"/>
                <w:lang w:eastAsia="en-US"/>
                <w14:ligatures w14:val="standardContextual"/>
              </w:rPr>
            </w:pPr>
          </w:p>
        </w:tc>
        <w:tc>
          <w:tcPr>
            <w:tcW w:w="1301" w:type="dxa"/>
            <w:shd w:val="clear" w:color="auto" w:fill="A8D08D" w:themeFill="accent6" w:themeFillTint="99"/>
            <w:hideMark/>
          </w:tcPr>
          <w:p w14:paraId="32E7C26A"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elektrická trakce</w:t>
            </w:r>
          </w:p>
        </w:tc>
        <w:tc>
          <w:tcPr>
            <w:tcW w:w="1359" w:type="dxa"/>
            <w:shd w:val="clear" w:color="auto" w:fill="A8D08D" w:themeFill="accent6" w:themeFillTint="99"/>
            <w:vAlign w:val="center"/>
            <w:hideMark/>
          </w:tcPr>
          <w:p w14:paraId="001A2A96"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7 657,7220</w:t>
            </w:r>
          </w:p>
        </w:tc>
        <w:tc>
          <w:tcPr>
            <w:tcW w:w="1195" w:type="dxa"/>
            <w:shd w:val="clear" w:color="auto" w:fill="A8D08D" w:themeFill="accent6" w:themeFillTint="99"/>
            <w:vAlign w:val="center"/>
            <w:hideMark/>
          </w:tcPr>
          <w:p w14:paraId="06E07A50"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0,2040</w:t>
            </w:r>
          </w:p>
        </w:tc>
        <w:tc>
          <w:tcPr>
            <w:tcW w:w="1273" w:type="dxa"/>
            <w:shd w:val="clear" w:color="auto" w:fill="A8D08D" w:themeFill="accent6" w:themeFillTint="99"/>
            <w:vAlign w:val="center"/>
            <w:hideMark/>
          </w:tcPr>
          <w:p w14:paraId="6CC0FCEB"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0,0020</w:t>
            </w:r>
          </w:p>
        </w:tc>
        <w:tc>
          <w:tcPr>
            <w:tcW w:w="1273" w:type="dxa"/>
            <w:shd w:val="clear" w:color="auto" w:fill="A8D08D" w:themeFill="accent6" w:themeFillTint="99"/>
            <w:vAlign w:val="center"/>
            <w:hideMark/>
          </w:tcPr>
          <w:p w14:paraId="42B3B1E2"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0,3660</w:t>
            </w:r>
          </w:p>
        </w:tc>
        <w:tc>
          <w:tcPr>
            <w:tcW w:w="1278" w:type="dxa"/>
            <w:shd w:val="clear" w:color="auto" w:fill="A8D08D" w:themeFill="accent6" w:themeFillTint="99"/>
            <w:vAlign w:val="center"/>
            <w:hideMark/>
          </w:tcPr>
          <w:p w14:paraId="02BBF2AA" w14:textId="77777777" w:rsidR="00DE4EFB" w:rsidRPr="00B07D79" w:rsidRDefault="00DE4EFB" w:rsidP="00B07D79">
            <w:pPr>
              <w:spacing w:line="276" w:lineRule="auto"/>
              <w:jc w:val="both"/>
              <w:rPr>
                <w:rFonts w:asciiTheme="minorHAnsi" w:hAnsiTheme="minorHAnsi" w:cs="Arial"/>
                <w:kern w:val="2"/>
                <w:sz w:val="20"/>
                <w:szCs w:val="22"/>
                <w14:ligatures w14:val="standardContextual"/>
              </w:rPr>
            </w:pPr>
            <w:r w:rsidRPr="00B07D79">
              <w:rPr>
                <w:rFonts w:asciiTheme="minorHAnsi" w:hAnsiTheme="minorHAnsi" w:cs="Arial"/>
                <w:kern w:val="2"/>
                <w:sz w:val="20"/>
                <w:szCs w:val="22"/>
                <w14:ligatures w14:val="standardContextual"/>
              </w:rPr>
              <w:t>4,7000</w:t>
            </w:r>
          </w:p>
        </w:tc>
      </w:tr>
    </w:tbl>
    <w:p w14:paraId="14CC6DC8" w14:textId="77777777" w:rsidR="00DE4EFB" w:rsidRPr="005E2F84" w:rsidRDefault="00DE4EFB" w:rsidP="005E2F84">
      <w:pPr>
        <w:spacing w:line="276" w:lineRule="auto"/>
        <w:jc w:val="right"/>
        <w:rPr>
          <w:rFonts w:asciiTheme="minorHAnsi" w:hAnsiTheme="minorHAnsi" w:cs="Arial"/>
          <w:color w:val="385623" w:themeColor="accent6" w:themeShade="80"/>
          <w:sz w:val="20"/>
          <w:szCs w:val="20"/>
          <w:lang w:eastAsia="en-US"/>
        </w:rPr>
      </w:pPr>
      <w:r w:rsidRPr="005E2F84">
        <w:rPr>
          <w:rFonts w:asciiTheme="minorHAnsi" w:hAnsiTheme="minorHAnsi" w:cs="Arial"/>
          <w:i/>
          <w:iCs/>
          <w:color w:val="385623" w:themeColor="accent6" w:themeShade="80"/>
          <w:sz w:val="20"/>
          <w:szCs w:val="22"/>
        </w:rPr>
        <w:t>Zdroj: „Aktualizace Rezortní metodiky MD pro hodnocení ekonomické efektivnosti 2022“</w:t>
      </w:r>
    </w:p>
    <w:p w14:paraId="40CCD736" w14:textId="680900EB" w:rsidR="00A44B6D" w:rsidRPr="00B07D79" w:rsidRDefault="00A44B6D" w:rsidP="00B07D79">
      <w:pPr>
        <w:spacing w:line="276" w:lineRule="auto"/>
        <w:jc w:val="both"/>
        <w:rPr>
          <w:rFonts w:asciiTheme="minorHAnsi" w:hAnsiTheme="minorHAnsi" w:cs="Arial"/>
        </w:rPr>
      </w:pPr>
      <w:r w:rsidRPr="00B07D79">
        <w:rPr>
          <w:rFonts w:asciiTheme="minorHAnsi" w:hAnsiTheme="minorHAnsi" w:cs="Arial"/>
        </w:rPr>
        <w:t xml:space="preserve">Železniční doprava je vybavena vhodnou infrastrukturou pro elektrickou vozbu. Konverze železničního systému probíhá na základě Koncepce přechodu na jednotnou napájecí soupravu ve vazbě na priority programového období </w:t>
      </w:r>
      <w:r w:rsidR="002F51FA" w:rsidRPr="00B07D79">
        <w:rPr>
          <w:rFonts w:asciiTheme="minorHAnsi" w:hAnsiTheme="minorHAnsi" w:cs="Arial"/>
        </w:rPr>
        <w:t>2014–2020</w:t>
      </w:r>
      <w:r w:rsidRPr="00B07D79">
        <w:rPr>
          <w:rFonts w:asciiTheme="minorHAnsi" w:hAnsiTheme="minorHAnsi" w:cs="Arial"/>
        </w:rPr>
        <w:t xml:space="preserve"> a</w:t>
      </w:r>
      <w:r w:rsidR="00CF2351" w:rsidRPr="00B07D79">
        <w:rPr>
          <w:rFonts w:asciiTheme="minorHAnsi" w:hAnsiTheme="minorHAnsi" w:cs="Arial"/>
        </w:rPr>
        <w:t> </w:t>
      </w:r>
      <w:r w:rsidRPr="00B07D79">
        <w:rPr>
          <w:rFonts w:asciiTheme="minorHAnsi" w:hAnsiTheme="minorHAnsi" w:cs="Arial"/>
        </w:rPr>
        <w:t>naplnění požadavků TSI ENE. Tato koncepce byla schválena Centrální komisí Ministerstva dopravy (dále „MD“) a</w:t>
      </w:r>
      <w:r w:rsidR="00CF2351" w:rsidRPr="00B07D79">
        <w:rPr>
          <w:rFonts w:asciiTheme="minorHAnsi" w:hAnsiTheme="minorHAnsi" w:cs="Arial"/>
        </w:rPr>
        <w:t> </w:t>
      </w:r>
      <w:r w:rsidRPr="00B07D79">
        <w:rPr>
          <w:rFonts w:asciiTheme="minorHAnsi" w:hAnsiTheme="minorHAnsi" w:cs="Arial"/>
        </w:rPr>
        <w:t>infrastrukturní projekty jsou projektovány v</w:t>
      </w:r>
      <w:r w:rsidR="00CF2351" w:rsidRPr="00B07D79">
        <w:rPr>
          <w:rFonts w:asciiTheme="minorHAnsi" w:hAnsiTheme="minorHAnsi" w:cs="Arial"/>
        </w:rPr>
        <w:t> </w:t>
      </w:r>
      <w:r w:rsidRPr="00B07D79">
        <w:rPr>
          <w:rFonts w:asciiTheme="minorHAnsi" w:hAnsiTheme="minorHAnsi" w:cs="Arial"/>
        </w:rPr>
        <w:t>souladu s</w:t>
      </w:r>
      <w:r w:rsidR="00CF2351" w:rsidRPr="00B07D79">
        <w:rPr>
          <w:rFonts w:asciiTheme="minorHAnsi" w:hAnsiTheme="minorHAnsi" w:cs="Arial"/>
        </w:rPr>
        <w:t> </w:t>
      </w:r>
      <w:r w:rsidRPr="00B07D79">
        <w:rPr>
          <w:rFonts w:asciiTheme="minorHAnsi" w:hAnsiTheme="minorHAnsi" w:cs="Arial"/>
        </w:rPr>
        <w:t>touto koncepcí. Dále MD vypracovalo v</w:t>
      </w:r>
      <w:r w:rsidR="00CF2351" w:rsidRPr="00B07D79">
        <w:rPr>
          <w:rFonts w:asciiTheme="minorHAnsi" w:hAnsiTheme="minorHAnsi" w:cs="Arial"/>
        </w:rPr>
        <w:t> </w:t>
      </w:r>
      <w:r w:rsidRPr="00B07D79">
        <w:rPr>
          <w:rFonts w:asciiTheme="minorHAnsi" w:hAnsiTheme="minorHAnsi" w:cs="Arial"/>
        </w:rPr>
        <w:t>roce 2022 materiál Projekty prosté elektrizace pro osobní dálkovou a</w:t>
      </w:r>
      <w:r w:rsidR="00CF2351" w:rsidRPr="00B07D79">
        <w:rPr>
          <w:rFonts w:asciiTheme="minorHAnsi" w:hAnsiTheme="minorHAnsi" w:cs="Arial"/>
        </w:rPr>
        <w:t> </w:t>
      </w:r>
      <w:r w:rsidRPr="00B07D79">
        <w:rPr>
          <w:rFonts w:asciiTheme="minorHAnsi" w:hAnsiTheme="minorHAnsi" w:cs="Arial"/>
        </w:rPr>
        <w:t>nákladní dopravu, který respektuje TSI ENE a</w:t>
      </w:r>
      <w:r w:rsidR="00CF2351" w:rsidRPr="00B07D79">
        <w:rPr>
          <w:rFonts w:asciiTheme="minorHAnsi" w:hAnsiTheme="minorHAnsi" w:cs="Arial"/>
        </w:rPr>
        <w:t> </w:t>
      </w:r>
      <w:r w:rsidRPr="00B07D79">
        <w:rPr>
          <w:rFonts w:asciiTheme="minorHAnsi" w:hAnsiTheme="minorHAnsi" w:cs="Arial"/>
        </w:rPr>
        <w:t>NIP ENE ČR. Elektrizace železniční dopravy je podporována napříč nákladním sektorem, jak v</w:t>
      </w:r>
      <w:r w:rsidR="00CF2351" w:rsidRPr="00B07D79">
        <w:rPr>
          <w:rFonts w:asciiTheme="minorHAnsi" w:hAnsiTheme="minorHAnsi" w:cs="Arial"/>
        </w:rPr>
        <w:t> </w:t>
      </w:r>
      <w:r w:rsidRPr="00B07D79">
        <w:rPr>
          <w:rFonts w:asciiTheme="minorHAnsi" w:hAnsiTheme="minorHAnsi" w:cs="Arial"/>
        </w:rPr>
        <w:t>oblasti železnice, tak v</w:t>
      </w:r>
      <w:r w:rsidR="00CF2351" w:rsidRPr="00B07D79">
        <w:rPr>
          <w:rFonts w:asciiTheme="minorHAnsi" w:hAnsiTheme="minorHAnsi" w:cs="Arial"/>
        </w:rPr>
        <w:t> </w:t>
      </w:r>
      <w:r w:rsidRPr="00B07D79">
        <w:rPr>
          <w:rFonts w:asciiTheme="minorHAnsi" w:hAnsiTheme="minorHAnsi" w:cs="Arial"/>
        </w:rPr>
        <w:t>oblasti kombinované a</w:t>
      </w:r>
      <w:r w:rsidR="00CF2351" w:rsidRPr="00B07D79">
        <w:rPr>
          <w:rFonts w:asciiTheme="minorHAnsi" w:hAnsiTheme="minorHAnsi" w:cs="Arial"/>
        </w:rPr>
        <w:t> </w:t>
      </w:r>
      <w:r w:rsidRPr="00B07D79">
        <w:rPr>
          <w:rFonts w:asciiTheme="minorHAnsi" w:hAnsiTheme="minorHAnsi" w:cs="Arial"/>
        </w:rPr>
        <w:t>multimodální dopravy. Nepopiratelnou a</w:t>
      </w:r>
      <w:r w:rsidR="00CF2351" w:rsidRPr="00B07D79">
        <w:rPr>
          <w:rFonts w:asciiTheme="minorHAnsi" w:hAnsiTheme="minorHAnsi" w:cs="Arial"/>
        </w:rPr>
        <w:t> </w:t>
      </w:r>
      <w:r w:rsidRPr="00B07D79">
        <w:rPr>
          <w:rFonts w:asciiTheme="minorHAnsi" w:hAnsiTheme="minorHAnsi" w:cs="Arial"/>
        </w:rPr>
        <w:t>zásadní výhodou tohoto druhu alternativní dopravy je to, že má již nyní vybudovanou infrastrukturu, která se neustále rozšiřuje a</w:t>
      </w:r>
      <w:r w:rsidR="00CF2351" w:rsidRPr="00B07D79">
        <w:rPr>
          <w:rFonts w:asciiTheme="minorHAnsi" w:hAnsiTheme="minorHAnsi" w:cs="Arial"/>
        </w:rPr>
        <w:t> </w:t>
      </w:r>
      <w:r w:rsidRPr="00B07D79">
        <w:rPr>
          <w:rFonts w:asciiTheme="minorHAnsi" w:hAnsiTheme="minorHAnsi" w:cs="Arial"/>
        </w:rPr>
        <w:t>zkapacitňuje. Neoddiskutovatelnou výhodou železnice jsou její fyzikální vlastnosti, a</w:t>
      </w:r>
      <w:r w:rsidR="00CF2351" w:rsidRPr="00B07D79">
        <w:rPr>
          <w:rFonts w:asciiTheme="minorHAnsi" w:hAnsiTheme="minorHAnsi" w:cs="Arial"/>
        </w:rPr>
        <w:t> </w:t>
      </w:r>
      <w:r w:rsidRPr="00B07D79">
        <w:rPr>
          <w:rFonts w:asciiTheme="minorHAnsi" w:hAnsiTheme="minorHAnsi" w:cs="Arial"/>
        </w:rPr>
        <w:t>to nízký valivý odpor ocelových kol po ocelových kolejnicích, nízký aerodynamický odpor dlouhých štíhlých vozidel schopných tvořit vlak. Díky vysoce výkonnému elektrickému napájení vyniká železnice nízkou energetickou náročností a</w:t>
      </w:r>
      <w:r w:rsidR="00CF2351" w:rsidRPr="00B07D79">
        <w:rPr>
          <w:rFonts w:asciiTheme="minorHAnsi" w:hAnsiTheme="minorHAnsi" w:cs="Arial"/>
        </w:rPr>
        <w:t> </w:t>
      </w:r>
      <w:r w:rsidRPr="00B07D79">
        <w:rPr>
          <w:rFonts w:asciiTheme="minorHAnsi" w:hAnsiTheme="minorHAnsi" w:cs="Arial"/>
        </w:rPr>
        <w:t xml:space="preserve">bezemisností. </w:t>
      </w:r>
    </w:p>
    <w:p w14:paraId="2B7C44FA" w14:textId="2C6E5057" w:rsidR="000C003F" w:rsidRPr="00B07D79" w:rsidRDefault="000C003F" w:rsidP="00B07D79">
      <w:pPr>
        <w:spacing w:line="276" w:lineRule="auto"/>
        <w:jc w:val="both"/>
        <w:rPr>
          <w:rFonts w:asciiTheme="minorHAnsi" w:hAnsiTheme="minorHAnsi" w:cs="Arial"/>
        </w:rPr>
      </w:pPr>
      <w:r w:rsidRPr="00B07D79">
        <w:rPr>
          <w:rFonts w:asciiTheme="minorHAnsi" w:hAnsiTheme="minorHAnsi" w:cs="Arial"/>
        </w:rPr>
        <w:t>Pro koordinaci investic Správy železnic, respektive SFDI, do rozvoje liniové elektrifikace železničních tratí, s</w:t>
      </w:r>
      <w:r w:rsidR="00CF2351" w:rsidRPr="00B07D79">
        <w:rPr>
          <w:rFonts w:asciiTheme="minorHAnsi" w:hAnsiTheme="minorHAnsi" w:cs="Arial"/>
        </w:rPr>
        <w:t> </w:t>
      </w:r>
      <w:r w:rsidRPr="00B07D79">
        <w:rPr>
          <w:rFonts w:asciiTheme="minorHAnsi" w:hAnsiTheme="minorHAnsi" w:cs="Arial"/>
        </w:rPr>
        <w:t>investicemi dopravců do rozvoje parku vozidel, i</w:t>
      </w:r>
      <w:r w:rsidR="00CF2351" w:rsidRPr="00B07D79">
        <w:rPr>
          <w:rFonts w:asciiTheme="minorHAnsi" w:hAnsiTheme="minorHAnsi" w:cs="Arial"/>
        </w:rPr>
        <w:t> </w:t>
      </w:r>
      <w:r w:rsidRPr="00B07D79">
        <w:rPr>
          <w:rFonts w:asciiTheme="minorHAnsi" w:hAnsiTheme="minorHAnsi" w:cs="Arial"/>
        </w:rPr>
        <w:t>s objednávkou veřejné dálkové dopravy ze strany státu, i</w:t>
      </w:r>
      <w:r w:rsidR="00CF2351" w:rsidRPr="00B07D79">
        <w:rPr>
          <w:rFonts w:asciiTheme="minorHAnsi" w:hAnsiTheme="minorHAnsi" w:cs="Arial"/>
        </w:rPr>
        <w:t> </w:t>
      </w:r>
      <w:r w:rsidRPr="00B07D79">
        <w:rPr>
          <w:rFonts w:asciiTheme="minorHAnsi" w:hAnsiTheme="minorHAnsi" w:cs="Arial"/>
        </w:rPr>
        <w:t>veřejné regionální dopravy ze strany krajů, a</w:t>
      </w:r>
      <w:r w:rsidR="00CF2351" w:rsidRPr="00B07D79">
        <w:rPr>
          <w:rFonts w:asciiTheme="minorHAnsi" w:hAnsiTheme="minorHAnsi" w:cs="Arial"/>
        </w:rPr>
        <w:t> </w:t>
      </w:r>
      <w:r w:rsidRPr="00B07D79">
        <w:rPr>
          <w:rFonts w:asciiTheme="minorHAnsi" w:hAnsiTheme="minorHAnsi" w:cs="Arial"/>
        </w:rPr>
        <w:t>s aktivitami nákladních dopravců je v</w:t>
      </w:r>
      <w:r w:rsidR="00CF2351" w:rsidRPr="00B07D79">
        <w:rPr>
          <w:rFonts w:asciiTheme="minorHAnsi" w:hAnsiTheme="minorHAnsi" w:cs="Arial"/>
        </w:rPr>
        <w:t> </w:t>
      </w:r>
      <w:r w:rsidRPr="00B07D79">
        <w:rPr>
          <w:rFonts w:asciiTheme="minorHAnsi" w:hAnsiTheme="minorHAnsi" w:cs="Arial"/>
        </w:rPr>
        <w:t>přípravě aktualizace Národního implementačního plánu subsystému energie NIP ENE. Tento dokument bude navazovat na již ze strany MD ČR zpracovaný Plán zabezpečení české železnice (NIP ERTMS), který řeší postupné vybavování tratí a</w:t>
      </w:r>
      <w:r w:rsidR="00CF2351" w:rsidRPr="00B07D79">
        <w:rPr>
          <w:rFonts w:asciiTheme="minorHAnsi" w:hAnsiTheme="minorHAnsi" w:cs="Arial"/>
        </w:rPr>
        <w:t> </w:t>
      </w:r>
      <w:r w:rsidRPr="00B07D79">
        <w:rPr>
          <w:rFonts w:asciiTheme="minorHAnsi" w:hAnsiTheme="minorHAnsi" w:cs="Arial"/>
        </w:rPr>
        <w:t>vozidel technologií jednotného evropského vlakového zabezpečovače ETCS. Jednotlivé dokumenty jsou provázány jak časovým horizontem prací, tak plněním jednotlivých cílů jako je budování vysokorychlostního železničního systému a</w:t>
      </w:r>
      <w:r w:rsidR="00CF2351" w:rsidRPr="00B07D79">
        <w:rPr>
          <w:rFonts w:asciiTheme="minorHAnsi" w:hAnsiTheme="minorHAnsi" w:cs="Arial"/>
        </w:rPr>
        <w:t> </w:t>
      </w:r>
      <w:r w:rsidRPr="00B07D79">
        <w:rPr>
          <w:rFonts w:asciiTheme="minorHAnsi" w:hAnsiTheme="minorHAnsi" w:cs="Arial"/>
        </w:rPr>
        <w:t>budování statického i</w:t>
      </w:r>
      <w:r w:rsidR="00CF2351" w:rsidRPr="00B07D79">
        <w:rPr>
          <w:rFonts w:asciiTheme="minorHAnsi" w:hAnsiTheme="minorHAnsi" w:cs="Arial"/>
        </w:rPr>
        <w:t> </w:t>
      </w:r>
      <w:r w:rsidRPr="00B07D79">
        <w:rPr>
          <w:rFonts w:asciiTheme="minorHAnsi" w:hAnsiTheme="minorHAnsi" w:cs="Arial"/>
        </w:rPr>
        <w:t>dynamické nabíjení akumulátorových baterií dvouzdrojových vozidel trolej/akumulátor (BEMU) na přilehlých tratích bez liniové elektrifikace a</w:t>
      </w:r>
      <w:r w:rsidR="00CF2351" w:rsidRPr="00B07D79">
        <w:rPr>
          <w:rFonts w:asciiTheme="minorHAnsi" w:hAnsiTheme="minorHAnsi" w:cs="Arial"/>
        </w:rPr>
        <w:t> </w:t>
      </w:r>
      <w:r w:rsidRPr="00B07D79">
        <w:rPr>
          <w:rFonts w:asciiTheme="minorHAnsi" w:hAnsiTheme="minorHAnsi" w:cs="Arial"/>
        </w:rPr>
        <w:t>zkrácení vozebního ramena bez liniové elektrifikace,</w:t>
      </w:r>
    </w:p>
    <w:p w14:paraId="596EFFDD" w14:textId="74DBA4FA" w:rsidR="000C003F" w:rsidRPr="00B07D79" w:rsidRDefault="000C003F" w:rsidP="00B07D79">
      <w:pPr>
        <w:spacing w:line="276" w:lineRule="auto"/>
        <w:jc w:val="both"/>
        <w:rPr>
          <w:rFonts w:asciiTheme="minorHAnsi" w:hAnsiTheme="minorHAnsi" w:cs="Arial"/>
        </w:rPr>
      </w:pPr>
      <w:r w:rsidRPr="00B07D79">
        <w:rPr>
          <w:rFonts w:asciiTheme="minorHAnsi" w:hAnsiTheme="minorHAnsi" w:cs="Arial"/>
        </w:rPr>
        <w:t>Mezi další aktivity v</w:t>
      </w:r>
      <w:r w:rsidR="00CF2351" w:rsidRPr="00B07D79">
        <w:rPr>
          <w:rFonts w:asciiTheme="minorHAnsi" w:hAnsiTheme="minorHAnsi" w:cs="Arial"/>
        </w:rPr>
        <w:t> </w:t>
      </w:r>
      <w:r w:rsidRPr="00B07D79">
        <w:rPr>
          <w:rFonts w:asciiTheme="minorHAnsi" w:hAnsiTheme="minorHAnsi" w:cs="Arial"/>
        </w:rPr>
        <w:t>oblasti intramodálních úspor energie na železnici spadá například zavedení rekuperačního elektrodynamického brzdění na tratích a</w:t>
      </w:r>
      <w:r w:rsidR="00CF2351" w:rsidRPr="00B07D79">
        <w:rPr>
          <w:rFonts w:asciiTheme="minorHAnsi" w:hAnsiTheme="minorHAnsi" w:cs="Arial"/>
        </w:rPr>
        <w:t> </w:t>
      </w:r>
      <w:r w:rsidRPr="00B07D79">
        <w:rPr>
          <w:rFonts w:asciiTheme="minorHAnsi" w:hAnsiTheme="minorHAnsi" w:cs="Arial"/>
        </w:rPr>
        <w:t>vozidlech, energeticky úsporné systémy větrání, vytápění a</w:t>
      </w:r>
      <w:r w:rsidR="00CF2351" w:rsidRPr="00B07D79">
        <w:rPr>
          <w:rFonts w:asciiTheme="minorHAnsi" w:hAnsiTheme="minorHAnsi" w:cs="Arial"/>
        </w:rPr>
        <w:t> </w:t>
      </w:r>
      <w:r w:rsidRPr="00B07D79">
        <w:rPr>
          <w:rFonts w:asciiTheme="minorHAnsi" w:hAnsiTheme="minorHAnsi" w:cs="Arial"/>
        </w:rPr>
        <w:t>klimatizace vozidel, snižování hmotnosti regionálních vozidel, zlepšování aerodynamických vlastností rychlých vozidel a</w:t>
      </w:r>
      <w:r w:rsidR="00CF2351" w:rsidRPr="00B07D79">
        <w:rPr>
          <w:rFonts w:asciiTheme="minorHAnsi" w:hAnsiTheme="minorHAnsi" w:cs="Arial"/>
        </w:rPr>
        <w:t> </w:t>
      </w:r>
      <w:r w:rsidRPr="00B07D79">
        <w:rPr>
          <w:rFonts w:asciiTheme="minorHAnsi" w:hAnsiTheme="minorHAnsi" w:cs="Arial"/>
        </w:rPr>
        <w:t xml:space="preserve">využití ETCS pro energeticky hospodárné vedení vlaku (ATO </w:t>
      </w:r>
      <w:r w:rsidRPr="00B07D79">
        <w:rPr>
          <w:rFonts w:asciiTheme="minorHAnsi" w:hAnsiTheme="minorHAnsi" w:cs="Arial"/>
          <w:lang w:val="en-GB"/>
        </w:rPr>
        <w:t>over</w:t>
      </w:r>
      <w:r w:rsidRPr="00B07D79">
        <w:rPr>
          <w:rFonts w:asciiTheme="minorHAnsi" w:hAnsiTheme="minorHAnsi" w:cs="Arial"/>
        </w:rPr>
        <w:t xml:space="preserve"> ETCS). </w:t>
      </w:r>
    </w:p>
    <w:p w14:paraId="2F19433B" w14:textId="3A57E8DD" w:rsidR="00DE4EFB" w:rsidRPr="00B07D79" w:rsidRDefault="00DE4EFB" w:rsidP="00B07D79">
      <w:pPr>
        <w:spacing w:line="276" w:lineRule="auto"/>
        <w:jc w:val="both"/>
        <w:rPr>
          <w:rFonts w:asciiTheme="minorHAnsi" w:hAnsiTheme="minorHAnsi" w:cs="Arial"/>
          <w:iCs/>
          <w:sz w:val="24"/>
          <w:szCs w:val="28"/>
        </w:rPr>
      </w:pPr>
      <w:r w:rsidRPr="00B07D79">
        <w:rPr>
          <w:rFonts w:asciiTheme="minorHAnsi" w:hAnsiTheme="minorHAnsi"/>
        </w:rPr>
        <w:t>Pokud jde o</w:t>
      </w:r>
      <w:r w:rsidR="00CF2351" w:rsidRPr="00B07D79">
        <w:rPr>
          <w:rFonts w:asciiTheme="minorHAnsi" w:hAnsiTheme="minorHAnsi"/>
        </w:rPr>
        <w:t> </w:t>
      </w:r>
      <w:r w:rsidRPr="00B07D79">
        <w:rPr>
          <w:rFonts w:asciiTheme="minorHAnsi" w:hAnsiTheme="minorHAnsi"/>
        </w:rPr>
        <w:t>rozsah železničních vozidel, kterých by se daná postupná obměna měla týkat, je</w:t>
      </w:r>
      <w:r w:rsidR="008126E4" w:rsidRPr="00B07D79">
        <w:rPr>
          <w:rFonts w:asciiTheme="minorHAnsi" w:hAnsiTheme="minorHAnsi"/>
        </w:rPr>
        <w:t> </w:t>
      </w:r>
      <w:r w:rsidRPr="00B07D79">
        <w:rPr>
          <w:rFonts w:asciiTheme="minorHAnsi" w:hAnsiTheme="minorHAnsi"/>
        </w:rPr>
        <w:t>třeba zmínit zejména 8 linek (č. R14, R21, R22, R24 až 27 a</w:t>
      </w:r>
      <w:r w:rsidR="00CF2351" w:rsidRPr="00B07D79">
        <w:rPr>
          <w:rFonts w:asciiTheme="minorHAnsi" w:hAnsiTheme="minorHAnsi"/>
        </w:rPr>
        <w:t> </w:t>
      </w:r>
      <w:r w:rsidRPr="00B07D79">
        <w:rPr>
          <w:rFonts w:asciiTheme="minorHAnsi" w:hAnsiTheme="minorHAnsi"/>
        </w:rPr>
        <w:t>R29), které jsou provozovány zcela zastaralými vozidly s</w:t>
      </w:r>
      <w:r w:rsidR="00CF2351" w:rsidRPr="00B07D79">
        <w:rPr>
          <w:rFonts w:asciiTheme="minorHAnsi" w:hAnsiTheme="minorHAnsi"/>
        </w:rPr>
        <w:t> </w:t>
      </w:r>
      <w:r w:rsidRPr="00B07D79">
        <w:rPr>
          <w:rFonts w:asciiTheme="minorHAnsi" w:hAnsiTheme="minorHAnsi"/>
        </w:rPr>
        <w:t>pohonem spalovacím motorem. U</w:t>
      </w:r>
      <w:r w:rsidR="00CF2351" w:rsidRPr="00B07D79">
        <w:rPr>
          <w:rFonts w:asciiTheme="minorHAnsi" w:hAnsiTheme="minorHAnsi"/>
        </w:rPr>
        <w:t> </w:t>
      </w:r>
      <w:r w:rsidRPr="00B07D79">
        <w:rPr>
          <w:rFonts w:asciiTheme="minorHAnsi" w:hAnsiTheme="minorHAnsi"/>
        </w:rPr>
        <w:t>dalších pěti linek je smíšená trakce elektrická a</w:t>
      </w:r>
      <w:r w:rsidR="00CF2351" w:rsidRPr="00B07D79">
        <w:rPr>
          <w:rFonts w:asciiTheme="minorHAnsi" w:hAnsiTheme="minorHAnsi"/>
        </w:rPr>
        <w:t> </w:t>
      </w:r>
      <w:r w:rsidRPr="00B07D79">
        <w:rPr>
          <w:rFonts w:asciiTheme="minorHAnsi" w:hAnsiTheme="minorHAnsi"/>
        </w:rPr>
        <w:t>dieselová, kde dieselové lokomotivy realizují vozbu na menší části trasy (konkrétně jde o</w:t>
      </w:r>
      <w:r w:rsidR="00CF2351" w:rsidRPr="00B07D79">
        <w:rPr>
          <w:rFonts w:asciiTheme="minorHAnsi" w:hAnsiTheme="minorHAnsi"/>
        </w:rPr>
        <w:t> </w:t>
      </w:r>
      <w:r w:rsidRPr="00B07D79">
        <w:rPr>
          <w:rFonts w:asciiTheme="minorHAnsi" w:hAnsiTheme="minorHAnsi"/>
        </w:rPr>
        <w:t xml:space="preserve">expresní linky Ex6 </w:t>
      </w:r>
      <w:r w:rsidRPr="00B07D79">
        <w:rPr>
          <w:rFonts w:asciiTheme="minorHAnsi" w:hAnsiTheme="minorHAnsi"/>
        </w:rPr>
        <w:lastRenderedPageBreak/>
        <w:t>v</w:t>
      </w:r>
      <w:r w:rsidR="00CF2351" w:rsidRPr="00B07D79">
        <w:rPr>
          <w:rFonts w:asciiTheme="minorHAnsi" w:hAnsiTheme="minorHAnsi"/>
        </w:rPr>
        <w:t> </w:t>
      </w:r>
      <w:r w:rsidRPr="00B07D79">
        <w:rPr>
          <w:rFonts w:asciiTheme="minorHAnsi" w:hAnsiTheme="minorHAnsi"/>
        </w:rPr>
        <w:t>úseku Plzeň – Domažlice, popřípadě v</w:t>
      </w:r>
      <w:r w:rsidR="00CF2351" w:rsidRPr="00B07D79">
        <w:rPr>
          <w:rFonts w:asciiTheme="minorHAnsi" w:hAnsiTheme="minorHAnsi"/>
        </w:rPr>
        <w:t> </w:t>
      </w:r>
      <w:r w:rsidRPr="00B07D79">
        <w:rPr>
          <w:rFonts w:asciiTheme="minorHAnsi" w:hAnsiTheme="minorHAnsi"/>
        </w:rPr>
        <w:t>malém rozsahu Ex7 v</w:t>
      </w:r>
      <w:r w:rsidR="00CF2351" w:rsidRPr="00B07D79">
        <w:rPr>
          <w:rFonts w:asciiTheme="minorHAnsi" w:hAnsiTheme="minorHAnsi"/>
        </w:rPr>
        <w:t> </w:t>
      </w:r>
      <w:r w:rsidRPr="00B07D79">
        <w:rPr>
          <w:rFonts w:asciiTheme="minorHAnsi" w:hAnsiTheme="minorHAnsi"/>
        </w:rPr>
        <w:t>dílčím úseku odbočného ramene linky České Budějovice – Český Krumlov a</w:t>
      </w:r>
      <w:r w:rsidR="00CF2351" w:rsidRPr="00B07D79">
        <w:rPr>
          <w:rFonts w:asciiTheme="minorHAnsi" w:hAnsiTheme="minorHAnsi"/>
        </w:rPr>
        <w:t> </w:t>
      </w:r>
      <w:r w:rsidRPr="00B07D79">
        <w:rPr>
          <w:rFonts w:asciiTheme="minorHAnsi" w:hAnsiTheme="minorHAnsi"/>
        </w:rPr>
        <w:t>rychlíkové R10 Jaroměř – Trutnov, R11 Brno – Jihlava a</w:t>
      </w:r>
      <w:r w:rsidR="00CF2351" w:rsidRPr="00B07D79">
        <w:rPr>
          <w:rFonts w:asciiTheme="minorHAnsi" w:hAnsiTheme="minorHAnsi"/>
        </w:rPr>
        <w:t> </w:t>
      </w:r>
      <w:r w:rsidRPr="00B07D79">
        <w:rPr>
          <w:rFonts w:asciiTheme="minorHAnsi" w:hAnsiTheme="minorHAnsi"/>
        </w:rPr>
        <w:t>R18 Staré Město u</w:t>
      </w:r>
      <w:r w:rsidR="00CF2351" w:rsidRPr="00B07D79">
        <w:rPr>
          <w:rFonts w:asciiTheme="minorHAnsi" w:hAnsiTheme="minorHAnsi"/>
        </w:rPr>
        <w:t> </w:t>
      </w:r>
      <w:r w:rsidRPr="00B07D79">
        <w:rPr>
          <w:rFonts w:asciiTheme="minorHAnsi" w:hAnsiTheme="minorHAnsi"/>
        </w:rPr>
        <w:t>Uherského Hradiště – Luhačovice). Další dvě linky mají pokračování v</w:t>
      </w:r>
      <w:r w:rsidR="00CF2351" w:rsidRPr="00B07D79">
        <w:rPr>
          <w:rFonts w:asciiTheme="minorHAnsi" w:hAnsiTheme="minorHAnsi"/>
        </w:rPr>
        <w:t> </w:t>
      </w:r>
      <w:r w:rsidRPr="00B07D79">
        <w:rPr>
          <w:rFonts w:asciiTheme="minorHAnsi" w:hAnsiTheme="minorHAnsi"/>
        </w:rPr>
        <w:t>závazku veřejné služby krajů, které</w:t>
      </w:r>
      <w:r w:rsidR="008126E4" w:rsidRPr="00B07D79">
        <w:rPr>
          <w:rFonts w:asciiTheme="minorHAnsi" w:hAnsiTheme="minorHAnsi"/>
        </w:rPr>
        <w:t> </w:t>
      </w:r>
      <w:r w:rsidRPr="00B07D79">
        <w:rPr>
          <w:rFonts w:asciiTheme="minorHAnsi" w:hAnsiTheme="minorHAnsi"/>
        </w:rPr>
        <w:t>je</w:t>
      </w:r>
      <w:r w:rsidR="008126E4" w:rsidRPr="00B07D79">
        <w:rPr>
          <w:rFonts w:asciiTheme="minorHAnsi" w:hAnsiTheme="minorHAnsi"/>
        </w:rPr>
        <w:t> </w:t>
      </w:r>
      <w:r w:rsidRPr="00B07D79">
        <w:rPr>
          <w:rFonts w:asciiTheme="minorHAnsi" w:hAnsiTheme="minorHAnsi"/>
        </w:rPr>
        <w:t>opětovně řešeno dieselovým pohonem (konkrétně jde o</w:t>
      </w:r>
      <w:r w:rsidR="00CF2351" w:rsidRPr="00B07D79">
        <w:rPr>
          <w:rFonts w:asciiTheme="minorHAnsi" w:hAnsiTheme="minorHAnsi"/>
        </w:rPr>
        <w:t> </w:t>
      </w:r>
      <w:r w:rsidRPr="00B07D79">
        <w:rPr>
          <w:rFonts w:asciiTheme="minorHAnsi" w:hAnsiTheme="minorHAnsi"/>
        </w:rPr>
        <w:t>přímé vozy z</w:t>
      </w:r>
      <w:r w:rsidR="00CF2351" w:rsidRPr="00B07D79">
        <w:rPr>
          <w:rFonts w:asciiTheme="minorHAnsi" w:hAnsiTheme="minorHAnsi"/>
        </w:rPr>
        <w:t> </w:t>
      </w:r>
      <w:r w:rsidRPr="00B07D79">
        <w:rPr>
          <w:rFonts w:asciiTheme="minorHAnsi" w:hAnsiTheme="minorHAnsi"/>
        </w:rPr>
        <w:t>Prahy na</w:t>
      </w:r>
      <w:r w:rsidR="008126E4" w:rsidRPr="00B07D79">
        <w:rPr>
          <w:rFonts w:asciiTheme="minorHAnsi" w:hAnsiTheme="minorHAnsi"/>
        </w:rPr>
        <w:t> </w:t>
      </w:r>
      <w:r w:rsidRPr="00B07D79">
        <w:rPr>
          <w:rFonts w:asciiTheme="minorHAnsi" w:hAnsiTheme="minorHAnsi"/>
        </w:rPr>
        <w:t>Železnou Rudu a</w:t>
      </w:r>
      <w:r w:rsidR="00CF2351" w:rsidRPr="00B07D79">
        <w:rPr>
          <w:rFonts w:asciiTheme="minorHAnsi" w:hAnsiTheme="minorHAnsi"/>
        </w:rPr>
        <w:t> </w:t>
      </w:r>
      <w:r w:rsidRPr="00B07D79">
        <w:rPr>
          <w:rFonts w:asciiTheme="minorHAnsi" w:hAnsiTheme="minorHAnsi"/>
        </w:rPr>
        <w:t>z Brna do Jeseníka).</w:t>
      </w:r>
      <w:r w:rsidR="004E5307" w:rsidRPr="00B07D79">
        <w:rPr>
          <w:rFonts w:asciiTheme="minorHAnsi" w:hAnsiTheme="minorHAnsi"/>
        </w:rPr>
        <w:t xml:space="preserve"> </w:t>
      </w:r>
    </w:p>
    <w:p w14:paraId="1D9DF0C7" w14:textId="1B017BE0" w:rsidR="00BF2BD1" w:rsidRPr="005E2F84" w:rsidRDefault="00BF2BD1" w:rsidP="0074122A">
      <w:pPr>
        <w:pStyle w:val="Nadpis2"/>
        <w:rPr>
          <w:sz w:val="32"/>
          <w:szCs w:val="36"/>
        </w:rPr>
      </w:pPr>
      <w:bookmarkStart w:id="307" w:name="_Toc152329837"/>
      <w:bookmarkStart w:id="308" w:name="_Toc149911230"/>
      <w:bookmarkStart w:id="309" w:name="_Toc159264343"/>
      <w:bookmarkStart w:id="310" w:name="_Toc153208248"/>
      <w:bookmarkStart w:id="311" w:name="_Toc159332176"/>
      <w:bookmarkStart w:id="312" w:name="_Toc159336657"/>
      <w:bookmarkStart w:id="313" w:name="_Toc160021760"/>
      <w:bookmarkStart w:id="314" w:name="_Toc162447450"/>
      <w:bookmarkStart w:id="315" w:name="_Toc173240085"/>
      <w:r w:rsidRPr="005E2F84">
        <w:rPr>
          <w:sz w:val="32"/>
          <w:szCs w:val="36"/>
        </w:rPr>
        <w:t>Prognózy vývoje elektromobility</w:t>
      </w:r>
      <w:bookmarkEnd w:id="186"/>
      <w:bookmarkEnd w:id="307"/>
      <w:bookmarkEnd w:id="308"/>
      <w:bookmarkEnd w:id="309"/>
      <w:bookmarkEnd w:id="310"/>
      <w:bookmarkEnd w:id="311"/>
      <w:bookmarkEnd w:id="312"/>
      <w:bookmarkEnd w:id="313"/>
      <w:bookmarkEnd w:id="314"/>
      <w:r w:rsidR="00E51BA5" w:rsidRPr="005E2F84">
        <w:rPr>
          <w:sz w:val="32"/>
          <w:szCs w:val="36"/>
        </w:rPr>
        <w:t xml:space="preserve"> v</w:t>
      </w:r>
      <w:r w:rsidR="00CF2351" w:rsidRPr="005E2F84">
        <w:rPr>
          <w:sz w:val="32"/>
          <w:szCs w:val="36"/>
        </w:rPr>
        <w:t> </w:t>
      </w:r>
      <w:r w:rsidR="00E51BA5" w:rsidRPr="005E2F84">
        <w:rPr>
          <w:sz w:val="32"/>
          <w:szCs w:val="36"/>
        </w:rPr>
        <w:t>silniční dopravě</w:t>
      </w:r>
      <w:bookmarkEnd w:id="315"/>
      <w:r w:rsidR="00E51BA5" w:rsidRPr="005E2F84">
        <w:rPr>
          <w:sz w:val="32"/>
          <w:szCs w:val="36"/>
        </w:rPr>
        <w:t xml:space="preserve"> </w:t>
      </w:r>
    </w:p>
    <w:p w14:paraId="4F2AB924" w14:textId="0F8C71D7" w:rsidR="00BF2BD1" w:rsidRPr="00B07D79" w:rsidRDefault="00BF2BD1" w:rsidP="00B07D79">
      <w:pPr>
        <w:spacing w:line="276" w:lineRule="auto"/>
        <w:jc w:val="both"/>
        <w:rPr>
          <w:rFonts w:asciiTheme="minorHAnsi" w:hAnsiTheme="minorHAnsi"/>
        </w:rPr>
      </w:pPr>
      <w:r w:rsidRPr="00B07D79">
        <w:rPr>
          <w:rFonts w:asciiTheme="minorHAnsi" w:hAnsiTheme="minorHAnsi"/>
        </w:rPr>
        <w:t>Pro prognózy byl použit zdroj Aktualizace predikce vývoje elektromobility v</w:t>
      </w:r>
      <w:r w:rsidR="00CF2351" w:rsidRPr="00B07D79">
        <w:rPr>
          <w:rFonts w:asciiTheme="minorHAnsi" w:hAnsiTheme="minorHAnsi"/>
        </w:rPr>
        <w:t> </w:t>
      </w:r>
      <w:r w:rsidRPr="00B07D79">
        <w:rPr>
          <w:rFonts w:asciiTheme="minorHAnsi" w:hAnsiTheme="minorHAnsi"/>
        </w:rPr>
        <w:t>ČR do roku 2045 od EuroEnergy</w:t>
      </w:r>
      <w:r w:rsidR="004D5C04" w:rsidRPr="00B07D79">
        <w:rPr>
          <w:rFonts w:asciiTheme="minorHAnsi" w:hAnsiTheme="minorHAnsi"/>
        </w:rPr>
        <w:t>, zpracovaný v</w:t>
      </w:r>
      <w:r w:rsidR="00CF2351" w:rsidRPr="00B07D79">
        <w:rPr>
          <w:rFonts w:asciiTheme="minorHAnsi" w:hAnsiTheme="minorHAnsi"/>
        </w:rPr>
        <w:t> </w:t>
      </w:r>
      <w:r w:rsidR="004D5C04" w:rsidRPr="00B07D79">
        <w:rPr>
          <w:rFonts w:asciiTheme="minorHAnsi" w:hAnsiTheme="minorHAnsi"/>
        </w:rPr>
        <w:t>březnu 2024 v</w:t>
      </w:r>
      <w:r w:rsidR="00CF2351" w:rsidRPr="00B07D79">
        <w:rPr>
          <w:rFonts w:asciiTheme="minorHAnsi" w:hAnsiTheme="minorHAnsi"/>
        </w:rPr>
        <w:t> </w:t>
      </w:r>
      <w:r w:rsidR="004D5C04" w:rsidRPr="00B07D79">
        <w:rPr>
          <w:rFonts w:asciiTheme="minorHAnsi" w:hAnsiTheme="minorHAnsi"/>
        </w:rPr>
        <w:t>rámci NAP SG.</w:t>
      </w:r>
    </w:p>
    <w:p w14:paraId="350D896C" w14:textId="5A896C78" w:rsidR="00BF2BD1" w:rsidRPr="00B07D79" w:rsidRDefault="00BF2BD1" w:rsidP="00B07D79">
      <w:pPr>
        <w:spacing w:line="276" w:lineRule="auto"/>
        <w:jc w:val="both"/>
        <w:rPr>
          <w:rFonts w:asciiTheme="minorHAnsi" w:hAnsiTheme="minorHAnsi"/>
        </w:rPr>
      </w:pPr>
      <w:r w:rsidRPr="00B07D79">
        <w:rPr>
          <w:rFonts w:asciiTheme="minorHAnsi" w:hAnsiTheme="minorHAnsi"/>
        </w:rPr>
        <w:t>Podle současných odhadů se budeme pohybovat na pomezí nízkého a</w:t>
      </w:r>
      <w:r w:rsidR="00CF2351" w:rsidRPr="00B07D79">
        <w:rPr>
          <w:rFonts w:asciiTheme="minorHAnsi" w:hAnsiTheme="minorHAnsi"/>
        </w:rPr>
        <w:t> </w:t>
      </w:r>
      <w:r w:rsidRPr="00B07D79">
        <w:rPr>
          <w:rFonts w:asciiTheme="minorHAnsi" w:hAnsiTheme="minorHAnsi"/>
        </w:rPr>
        <w:t>středního scénáře.</w:t>
      </w:r>
    </w:p>
    <w:p w14:paraId="635DCAED"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Osobní automobily</w:t>
      </w:r>
    </w:p>
    <w:p w14:paraId="203EC602" w14:textId="6EAE9AB2" w:rsidR="00BF2BD1" w:rsidRPr="00B07D79" w:rsidRDefault="00BF2BD1" w:rsidP="00B07D79">
      <w:pPr>
        <w:spacing w:line="276" w:lineRule="auto"/>
        <w:jc w:val="both"/>
        <w:rPr>
          <w:rFonts w:asciiTheme="minorHAnsi" w:hAnsiTheme="minorHAnsi"/>
        </w:rPr>
      </w:pPr>
      <w:r w:rsidRPr="00B07D79">
        <w:rPr>
          <w:rFonts w:asciiTheme="minorHAnsi" w:hAnsiTheme="minorHAnsi"/>
        </w:rPr>
        <w:t>Vzhledem k</w:t>
      </w:r>
      <w:r w:rsidR="00CF2351" w:rsidRPr="00B07D79">
        <w:rPr>
          <w:rFonts w:asciiTheme="minorHAnsi" w:hAnsiTheme="minorHAnsi"/>
        </w:rPr>
        <w:t> </w:t>
      </w:r>
      <w:r w:rsidRPr="00B07D79">
        <w:rPr>
          <w:rFonts w:asciiTheme="minorHAnsi" w:hAnsiTheme="minorHAnsi"/>
        </w:rPr>
        <w:t>tomu, že predikce rozvoje elektromobility je v</w:t>
      </w:r>
      <w:r w:rsidR="00CF2351" w:rsidRPr="00B07D79">
        <w:rPr>
          <w:rFonts w:asciiTheme="minorHAnsi" w:hAnsiTheme="minorHAnsi"/>
        </w:rPr>
        <w:t> </w:t>
      </w:r>
      <w:r w:rsidRPr="00B07D79">
        <w:rPr>
          <w:rFonts w:asciiTheme="minorHAnsi" w:hAnsiTheme="minorHAnsi"/>
        </w:rPr>
        <w:t>jednotlivých scénářích prováděna v</w:t>
      </w:r>
      <w:r w:rsidR="00CF2351" w:rsidRPr="00B07D79">
        <w:rPr>
          <w:rFonts w:asciiTheme="minorHAnsi" w:hAnsiTheme="minorHAnsi"/>
        </w:rPr>
        <w:t> </w:t>
      </w:r>
      <w:r w:rsidRPr="00B07D79">
        <w:rPr>
          <w:rFonts w:asciiTheme="minorHAnsi" w:hAnsiTheme="minorHAnsi"/>
        </w:rPr>
        <w:t>dlouhodobém horizontu až do roku 2045, tak jako jeden ze vstupů zde figuruje populační prognóza ČSÚ. Ve srovnání s</w:t>
      </w:r>
      <w:r w:rsidR="000B4EA2" w:rsidRPr="00B07D79">
        <w:rPr>
          <w:rFonts w:asciiTheme="minorHAnsi" w:hAnsiTheme="minorHAnsi"/>
        </w:rPr>
        <w:t>e Studií z</w:t>
      </w:r>
      <w:r w:rsidR="00CF2351" w:rsidRPr="00B07D79">
        <w:rPr>
          <w:rFonts w:asciiTheme="minorHAnsi" w:hAnsiTheme="minorHAnsi"/>
        </w:rPr>
        <w:t> </w:t>
      </w:r>
      <w:r w:rsidR="000B4EA2" w:rsidRPr="00B07D79">
        <w:rPr>
          <w:rFonts w:asciiTheme="minorHAnsi" w:hAnsiTheme="minorHAnsi"/>
        </w:rPr>
        <w:t>roku 2021 proběhla aktualizace scénářů na základě rozvoje elektromobility posledních roků a</w:t>
      </w:r>
      <w:r w:rsidR="00CF2351" w:rsidRPr="00B07D79">
        <w:rPr>
          <w:rFonts w:asciiTheme="minorHAnsi" w:hAnsiTheme="minorHAnsi"/>
        </w:rPr>
        <w:t> </w:t>
      </w:r>
      <w:r w:rsidR="000B4EA2" w:rsidRPr="00B07D79">
        <w:rPr>
          <w:rFonts w:asciiTheme="minorHAnsi" w:hAnsiTheme="minorHAnsi"/>
        </w:rPr>
        <w:t>současně na základě aktuálního vývoje registrace nových vozidel.</w:t>
      </w:r>
    </w:p>
    <w:p w14:paraId="233F0163" w14:textId="2964402B"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Nízký scénář rozvoje elektromobility </w:t>
      </w:r>
      <w:r w:rsidR="000B4EA2" w:rsidRPr="00B07D79">
        <w:rPr>
          <w:rFonts w:asciiTheme="minorHAnsi" w:hAnsiTheme="minorHAnsi"/>
        </w:rPr>
        <w:t>představuje omezený rozvoj elektromobility a</w:t>
      </w:r>
      <w:r w:rsidR="00CF2351" w:rsidRPr="00B07D79">
        <w:rPr>
          <w:rFonts w:asciiTheme="minorHAnsi" w:hAnsiTheme="minorHAnsi"/>
        </w:rPr>
        <w:t> </w:t>
      </w:r>
      <w:r w:rsidR="000B4EA2" w:rsidRPr="00B07D79">
        <w:rPr>
          <w:rFonts w:asciiTheme="minorHAnsi" w:hAnsiTheme="minorHAnsi"/>
        </w:rPr>
        <w:t>vychází z</w:t>
      </w:r>
      <w:r w:rsidR="00CF2351" w:rsidRPr="00B07D79">
        <w:rPr>
          <w:rFonts w:asciiTheme="minorHAnsi" w:hAnsiTheme="minorHAnsi"/>
        </w:rPr>
        <w:t> </w:t>
      </w:r>
      <w:r w:rsidR="000B4EA2" w:rsidRPr="00B07D79">
        <w:rPr>
          <w:rFonts w:asciiTheme="minorHAnsi" w:hAnsiTheme="minorHAnsi"/>
        </w:rPr>
        <w:t>mírného růstu na základě současného stavu.</w:t>
      </w:r>
      <w:r w:rsidRPr="00B07D79">
        <w:rPr>
          <w:rFonts w:asciiTheme="minorHAnsi" w:hAnsiTheme="minorHAnsi"/>
        </w:rPr>
        <w:t xml:space="preserve"> </w:t>
      </w:r>
    </w:p>
    <w:p w14:paraId="4324F175" w14:textId="52C7D9FA" w:rsidR="00BF2BD1" w:rsidRPr="00B07D79" w:rsidRDefault="000B4EA2" w:rsidP="00B07D79">
      <w:pPr>
        <w:spacing w:line="276" w:lineRule="auto"/>
        <w:jc w:val="both"/>
        <w:rPr>
          <w:rFonts w:asciiTheme="minorHAnsi" w:hAnsiTheme="minorHAnsi"/>
        </w:rPr>
      </w:pPr>
      <w:r w:rsidRPr="00B07D79">
        <w:rPr>
          <w:rFonts w:asciiTheme="minorHAnsi" w:hAnsiTheme="minorHAnsi"/>
        </w:rPr>
        <w:t>Střední scénář je založený na principu 5letého zpoždění za vysokým scénářem rozvoje elektromobility. Tento princip vychází z</w:t>
      </w:r>
      <w:r w:rsidR="00CF2351" w:rsidRPr="00B07D79">
        <w:rPr>
          <w:rFonts w:asciiTheme="minorHAnsi" w:hAnsiTheme="minorHAnsi"/>
        </w:rPr>
        <w:t> </w:t>
      </w:r>
      <w:r w:rsidRPr="00B07D79">
        <w:rPr>
          <w:rFonts w:asciiTheme="minorHAnsi" w:hAnsiTheme="minorHAnsi"/>
        </w:rPr>
        <w:t>předpokladu, že transformace sektoru dopravy, resp. elektrifikace, proběhne v</w:t>
      </w:r>
      <w:r w:rsidR="00CF2351" w:rsidRPr="00B07D79">
        <w:rPr>
          <w:rFonts w:asciiTheme="minorHAnsi" w:hAnsiTheme="minorHAnsi"/>
        </w:rPr>
        <w:t> </w:t>
      </w:r>
      <w:r w:rsidRPr="00B07D79">
        <w:rPr>
          <w:rFonts w:asciiTheme="minorHAnsi" w:hAnsiTheme="minorHAnsi"/>
        </w:rPr>
        <w:t>ČR s</w:t>
      </w:r>
      <w:r w:rsidR="00CF2351" w:rsidRPr="00B07D79">
        <w:rPr>
          <w:rFonts w:asciiTheme="minorHAnsi" w:hAnsiTheme="minorHAnsi"/>
        </w:rPr>
        <w:t> </w:t>
      </w:r>
      <w:r w:rsidRPr="00B07D79">
        <w:rPr>
          <w:rFonts w:asciiTheme="minorHAnsi" w:hAnsiTheme="minorHAnsi"/>
        </w:rPr>
        <w:t>určitým zpožděním ve srovnání se zeměmi západní Evropy</w:t>
      </w:r>
      <w:r w:rsidR="00BF2BD1" w:rsidRPr="00B07D79">
        <w:rPr>
          <w:rFonts w:asciiTheme="minorHAnsi" w:hAnsiTheme="minorHAnsi"/>
        </w:rPr>
        <w:t xml:space="preserve">. </w:t>
      </w:r>
    </w:p>
    <w:p w14:paraId="7B4FDBB5" w14:textId="0521E663" w:rsidR="00BF2BD1" w:rsidRPr="00B07D79" w:rsidRDefault="000B4EA2" w:rsidP="00B07D79">
      <w:pPr>
        <w:spacing w:line="276" w:lineRule="auto"/>
        <w:jc w:val="both"/>
        <w:rPr>
          <w:rFonts w:asciiTheme="minorHAnsi" w:hAnsiTheme="minorHAnsi"/>
        </w:rPr>
      </w:pPr>
      <w:r w:rsidRPr="00B07D79">
        <w:rPr>
          <w:rFonts w:asciiTheme="minorHAnsi" w:hAnsiTheme="minorHAnsi"/>
        </w:rPr>
        <w:t>Vysoký scénář předpokládá rozvoj elektromobility v</w:t>
      </w:r>
      <w:r w:rsidR="00CF2351" w:rsidRPr="00B07D79">
        <w:rPr>
          <w:rFonts w:asciiTheme="minorHAnsi" w:hAnsiTheme="minorHAnsi"/>
        </w:rPr>
        <w:t> </w:t>
      </w:r>
      <w:r w:rsidRPr="00B07D79">
        <w:rPr>
          <w:rFonts w:asciiTheme="minorHAnsi" w:hAnsiTheme="minorHAnsi"/>
        </w:rPr>
        <w:t>ČR kopírující tempo transformace dopravy vycházející z</w:t>
      </w:r>
      <w:r w:rsidR="00CF2351" w:rsidRPr="00B07D79">
        <w:rPr>
          <w:rFonts w:asciiTheme="minorHAnsi" w:hAnsiTheme="minorHAnsi"/>
        </w:rPr>
        <w:t> </w:t>
      </w:r>
      <w:r w:rsidRPr="00B07D79">
        <w:rPr>
          <w:rFonts w:asciiTheme="minorHAnsi" w:hAnsiTheme="minorHAnsi"/>
        </w:rPr>
        <w:t xml:space="preserve">návrhu klimatického balíčku „Fit </w:t>
      </w:r>
      <w:proofErr w:type="spellStart"/>
      <w:r w:rsidRPr="00B07D79">
        <w:rPr>
          <w:rFonts w:asciiTheme="minorHAnsi" w:hAnsiTheme="minorHAnsi"/>
        </w:rPr>
        <w:t>for</w:t>
      </w:r>
      <w:proofErr w:type="spellEnd"/>
      <w:r w:rsidRPr="00B07D79">
        <w:rPr>
          <w:rFonts w:asciiTheme="minorHAnsi" w:hAnsiTheme="minorHAnsi"/>
        </w:rPr>
        <w:t xml:space="preserve"> 55“ a</w:t>
      </w:r>
      <w:r w:rsidR="00CF2351" w:rsidRPr="00B07D79">
        <w:rPr>
          <w:rFonts w:asciiTheme="minorHAnsi" w:hAnsiTheme="minorHAnsi"/>
        </w:rPr>
        <w:t> </w:t>
      </w:r>
      <w:r w:rsidRPr="00B07D79">
        <w:rPr>
          <w:rFonts w:asciiTheme="minorHAnsi" w:hAnsiTheme="minorHAnsi"/>
        </w:rPr>
        <w:t>je v</w:t>
      </w:r>
      <w:r w:rsidR="00CF2351" w:rsidRPr="00B07D79">
        <w:rPr>
          <w:rFonts w:asciiTheme="minorHAnsi" w:hAnsiTheme="minorHAnsi"/>
        </w:rPr>
        <w:t> </w:t>
      </w:r>
      <w:r w:rsidRPr="00B07D79">
        <w:rPr>
          <w:rFonts w:asciiTheme="minorHAnsi" w:hAnsiTheme="minorHAnsi"/>
        </w:rPr>
        <w:t>souladu s</w:t>
      </w:r>
      <w:r w:rsidR="00CF2351" w:rsidRPr="00B07D79">
        <w:rPr>
          <w:rFonts w:asciiTheme="minorHAnsi" w:hAnsiTheme="minorHAnsi"/>
        </w:rPr>
        <w:t> </w:t>
      </w:r>
      <w:r w:rsidRPr="00B07D79">
        <w:rPr>
          <w:rFonts w:asciiTheme="minorHAnsi" w:hAnsiTheme="minorHAnsi"/>
        </w:rPr>
        <w:t xml:space="preserve">tímto návrhem. </w:t>
      </w:r>
      <w:r w:rsidR="00BF2BD1" w:rsidRPr="00B07D79">
        <w:rPr>
          <w:rFonts w:asciiTheme="minorHAnsi" w:hAnsiTheme="minorHAnsi"/>
        </w:rPr>
        <w:t>Návrh, který je součástí tohoto klimatického balíčku, navyšuje dřívější cíle a</w:t>
      </w:r>
      <w:r w:rsidR="00CF2351" w:rsidRPr="00B07D79">
        <w:rPr>
          <w:rFonts w:asciiTheme="minorHAnsi" w:hAnsiTheme="minorHAnsi"/>
        </w:rPr>
        <w:t> </w:t>
      </w:r>
      <w:r w:rsidR="00BF2BD1" w:rsidRPr="00B07D79">
        <w:rPr>
          <w:rFonts w:asciiTheme="minorHAnsi" w:hAnsiTheme="minorHAnsi"/>
        </w:rPr>
        <w:t>v roce 2030 požaduje 55% snížení emisí CO</w:t>
      </w:r>
      <w:r w:rsidR="00BF2BD1" w:rsidRPr="00B07D79">
        <w:rPr>
          <w:rFonts w:asciiTheme="minorHAnsi" w:hAnsiTheme="minorHAnsi"/>
          <w:vertAlign w:val="subscript"/>
        </w:rPr>
        <w:t>2</w:t>
      </w:r>
      <w:r w:rsidR="00BF2BD1" w:rsidRPr="00B07D79">
        <w:rPr>
          <w:rFonts w:asciiTheme="minorHAnsi" w:hAnsiTheme="minorHAnsi"/>
        </w:rPr>
        <w:t xml:space="preserve"> nově prodaných vozidel oproti cílům 2021. V</w:t>
      </w:r>
      <w:r w:rsidR="00CF2351" w:rsidRPr="00B07D79">
        <w:rPr>
          <w:rFonts w:asciiTheme="minorHAnsi" w:hAnsiTheme="minorHAnsi"/>
        </w:rPr>
        <w:t> </w:t>
      </w:r>
      <w:r w:rsidR="00BF2BD1" w:rsidRPr="00B07D79">
        <w:rPr>
          <w:rFonts w:asciiTheme="minorHAnsi" w:hAnsiTheme="minorHAnsi"/>
        </w:rPr>
        <w:t>roce 2035 by se již v</w:t>
      </w:r>
      <w:r w:rsidR="00CF2351" w:rsidRPr="00B07D79">
        <w:rPr>
          <w:rFonts w:asciiTheme="minorHAnsi" w:hAnsiTheme="minorHAnsi"/>
        </w:rPr>
        <w:t> </w:t>
      </w:r>
      <w:r w:rsidR="00BF2BD1" w:rsidRPr="00B07D79">
        <w:rPr>
          <w:rFonts w:asciiTheme="minorHAnsi" w:hAnsiTheme="minorHAnsi"/>
        </w:rPr>
        <w:t>EU měla prodávat pouze bezemisní vozidla. Tento scénář uvažuje, že tyto požadavky se projeví i</w:t>
      </w:r>
      <w:r w:rsidR="00CF2351" w:rsidRPr="00B07D79">
        <w:rPr>
          <w:rFonts w:asciiTheme="minorHAnsi" w:hAnsiTheme="minorHAnsi"/>
        </w:rPr>
        <w:t> </w:t>
      </w:r>
      <w:r w:rsidR="00BF2BD1" w:rsidRPr="00B07D79">
        <w:rPr>
          <w:rFonts w:asciiTheme="minorHAnsi" w:hAnsiTheme="minorHAnsi"/>
        </w:rPr>
        <w:t>na území ČR bezodkladně.</w:t>
      </w:r>
    </w:p>
    <w:p w14:paraId="41ACB686" w14:textId="4362FF7B" w:rsidR="00BF2BD1" w:rsidRPr="005E2F84" w:rsidRDefault="00BF2BD1"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Tabulka </w:t>
      </w:r>
      <w:r w:rsidRPr="005E2F84">
        <w:rPr>
          <w:rFonts w:asciiTheme="minorHAnsi" w:hAnsiTheme="minorHAnsi"/>
          <w:b w:val="0"/>
          <w:bCs w:val="0"/>
          <w:color w:val="385623" w:themeColor="accent6" w:themeShade="80"/>
        </w:rPr>
        <w:fldChar w:fldCharType="begin"/>
      </w:r>
      <w:r w:rsidRPr="005E2F84">
        <w:rPr>
          <w:rFonts w:asciiTheme="minorHAnsi" w:hAnsiTheme="minorHAnsi"/>
          <w:b w:val="0"/>
          <w:bCs w:val="0"/>
          <w:color w:val="385623" w:themeColor="accent6" w:themeShade="80"/>
        </w:rPr>
        <w:instrText>SEQ Tabulka \* ARABIC</w:instrText>
      </w:r>
      <w:r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6</w:t>
      </w:r>
      <w:r w:rsidRPr="005E2F84">
        <w:rPr>
          <w:rFonts w:asciiTheme="minorHAnsi" w:hAnsiTheme="minorHAnsi"/>
          <w:b w:val="0"/>
          <w:bCs w:val="0"/>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Přehled uvažovaných podílů EV na nových registracích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kumulované počty vozidel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jednotlivých časových řezech</w:t>
      </w:r>
    </w:p>
    <w:p w14:paraId="5F8BC864"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10939148" wp14:editId="26CC7386">
            <wp:extent cx="5760720" cy="5074920"/>
            <wp:effectExtent l="0" t="0" r="0" b="0"/>
            <wp:docPr id="12793938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0735" name="Picture 1"/>
                    <pic:cNvPicPr>
                      <a:picLocks noChangeAspect="1" noChangeArrowheads="1"/>
                    </pic:cNvPicPr>
                  </pic:nvPicPr>
                  <pic:blipFill>
                    <a:blip r:embed="rId71" cstate="print">
                      <a:duotone>
                        <a:prstClr val="black"/>
                        <a:schemeClr val="accent6">
                          <a:lumMod val="40000"/>
                          <a:lumOff val="60000"/>
                          <a:tint val="45000"/>
                          <a:satMod val="400000"/>
                        </a:schemeClr>
                      </a:duotone>
                      <a:extLst>
                        <a:ext uri="{28A0092B-C50C-407E-A947-70E740481C1C}">
                          <a14:useLocalDpi xmlns:a14="http://schemas.microsoft.com/office/drawing/2010/main" val="0"/>
                        </a:ext>
                      </a:extLst>
                    </a:blip>
                    <a:srcRect b="6064"/>
                    <a:stretch>
                      <a:fillRect/>
                    </a:stretch>
                  </pic:blipFill>
                  <pic:spPr bwMode="auto">
                    <a:xfrm>
                      <a:off x="0" y="0"/>
                      <a:ext cx="5760720" cy="5074920"/>
                    </a:xfrm>
                    <a:prstGeom prst="rect">
                      <a:avLst/>
                    </a:prstGeom>
                    <a:noFill/>
                    <a:ln>
                      <a:noFill/>
                    </a:ln>
                    <a:extLst>
                      <a:ext uri="{53640926-AAD7-44D8-BBD7-CCE9431645EC}">
                        <a14:shadowObscured xmlns:a14="http://schemas.microsoft.com/office/drawing/2010/main"/>
                      </a:ext>
                    </a:extLst>
                  </pic:spPr>
                </pic:pic>
              </a:graphicData>
            </a:graphic>
          </wp:inline>
        </w:drawing>
      </w:r>
    </w:p>
    <w:p w14:paraId="37279332" w14:textId="58862856" w:rsidR="00BF2BD1" w:rsidRPr="005E2F84" w:rsidRDefault="00BF2BD1" w:rsidP="005E2F84">
      <w:pPr>
        <w:spacing w:line="276" w:lineRule="auto"/>
        <w:jc w:val="right"/>
        <w:rPr>
          <w:rFonts w:asciiTheme="minorHAnsi" w:hAnsiTheme="minorHAnsi"/>
          <w:i/>
          <w:iCs/>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0B4EA2"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0446B2DE" w14:textId="77777777" w:rsidR="00BF2BD1" w:rsidRPr="00B07D79" w:rsidRDefault="00BF2BD1" w:rsidP="00B07D79">
      <w:pPr>
        <w:spacing w:line="276" w:lineRule="auto"/>
        <w:jc w:val="both"/>
        <w:rPr>
          <w:rFonts w:asciiTheme="minorHAnsi" w:hAnsiTheme="minorHAnsi"/>
        </w:rPr>
      </w:pPr>
    </w:p>
    <w:p w14:paraId="2748AFFD" w14:textId="6C34F13A" w:rsidR="00BF2BD1" w:rsidRPr="005E2F84" w:rsidRDefault="00BF2BD1"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Obrázek </w:t>
      </w:r>
      <w:r w:rsidR="007D4BC4" w:rsidRPr="005E2F84">
        <w:rPr>
          <w:rFonts w:asciiTheme="minorHAnsi" w:hAnsiTheme="minorHAnsi"/>
          <w:b w:val="0"/>
          <w:bCs w:val="0"/>
          <w:color w:val="385623" w:themeColor="accent6" w:themeShade="80"/>
        </w:rPr>
        <w:t xml:space="preserve">31 </w:t>
      </w:r>
      <w:r w:rsidRPr="005E2F84">
        <w:rPr>
          <w:rFonts w:asciiTheme="minorHAnsi" w:hAnsiTheme="minorHAnsi"/>
          <w:b w:val="0"/>
          <w:bCs w:val="0"/>
          <w:color w:val="385623" w:themeColor="accent6" w:themeShade="80"/>
        </w:rPr>
        <w:t>Projekce vývoje počtu osobních elektrických vozidel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všech osobních vozidel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p w14:paraId="12734E0E"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6C862A94" wp14:editId="721C5225">
            <wp:extent cx="5755005" cy="2590800"/>
            <wp:effectExtent l="0" t="0" r="0" b="0"/>
            <wp:docPr id="47806156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30039" name="Picture 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755005" cy="2590800"/>
                    </a:xfrm>
                    <a:prstGeom prst="rect">
                      <a:avLst/>
                    </a:prstGeom>
                    <a:noFill/>
                  </pic:spPr>
                </pic:pic>
              </a:graphicData>
            </a:graphic>
          </wp:inline>
        </w:drawing>
      </w:r>
    </w:p>
    <w:p w14:paraId="144FFDC6" w14:textId="0C5EC43E" w:rsidR="00BF2BD1" w:rsidRPr="005E2F84" w:rsidRDefault="00BF2BD1"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2722A0"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5BC75BBC" w14:textId="1568239E" w:rsidR="00BF2BD1" w:rsidRPr="00B07D79" w:rsidRDefault="00BF2BD1" w:rsidP="00B07D79">
      <w:pPr>
        <w:spacing w:line="276" w:lineRule="auto"/>
        <w:jc w:val="both"/>
        <w:rPr>
          <w:rFonts w:asciiTheme="minorHAnsi" w:hAnsiTheme="minorHAnsi"/>
        </w:rPr>
      </w:pPr>
      <w:r w:rsidRPr="00B07D79">
        <w:rPr>
          <w:rFonts w:asciiTheme="minorHAnsi" w:hAnsiTheme="minorHAnsi"/>
        </w:rPr>
        <w:t>Obrázek ilustruje, že přibližně v</w:t>
      </w:r>
      <w:r w:rsidR="00CF2351" w:rsidRPr="00B07D79">
        <w:rPr>
          <w:rFonts w:asciiTheme="minorHAnsi" w:hAnsiTheme="minorHAnsi"/>
        </w:rPr>
        <w:t> </w:t>
      </w:r>
      <w:r w:rsidRPr="00B07D79">
        <w:rPr>
          <w:rFonts w:asciiTheme="minorHAnsi" w:hAnsiTheme="minorHAnsi"/>
        </w:rPr>
        <w:t>první dekádě se uvažuje s</w:t>
      </w:r>
      <w:r w:rsidR="00CF2351" w:rsidRPr="00B07D79">
        <w:rPr>
          <w:rFonts w:asciiTheme="minorHAnsi" w:hAnsiTheme="minorHAnsi"/>
        </w:rPr>
        <w:t> </w:t>
      </w:r>
      <w:r w:rsidRPr="00B07D79">
        <w:rPr>
          <w:rFonts w:asciiTheme="minorHAnsi" w:hAnsiTheme="minorHAnsi"/>
        </w:rPr>
        <w:t>růstem celkového počtu osobních vozidel v</w:t>
      </w:r>
      <w:r w:rsidR="00CF2351" w:rsidRPr="00B07D79">
        <w:rPr>
          <w:rFonts w:asciiTheme="minorHAnsi" w:hAnsiTheme="minorHAnsi"/>
        </w:rPr>
        <w:t> </w:t>
      </w:r>
      <w:r w:rsidRPr="00B07D79">
        <w:rPr>
          <w:rFonts w:asciiTheme="minorHAnsi" w:hAnsiTheme="minorHAnsi"/>
        </w:rPr>
        <w:t>ČR. Následně pak dochází k</w:t>
      </w:r>
      <w:r w:rsidR="00CF2351" w:rsidRPr="00B07D79">
        <w:rPr>
          <w:rFonts w:asciiTheme="minorHAnsi" w:hAnsiTheme="minorHAnsi"/>
        </w:rPr>
        <w:t> </w:t>
      </w:r>
      <w:r w:rsidRPr="00B07D79">
        <w:rPr>
          <w:rFonts w:asciiTheme="minorHAnsi" w:hAnsiTheme="minorHAnsi"/>
        </w:rPr>
        <w:t>převrácení trendu a</w:t>
      </w:r>
      <w:r w:rsidR="00CF2351" w:rsidRPr="00B07D79">
        <w:rPr>
          <w:rFonts w:asciiTheme="minorHAnsi" w:hAnsiTheme="minorHAnsi"/>
        </w:rPr>
        <w:t> </w:t>
      </w:r>
      <w:r w:rsidRPr="00B07D79">
        <w:rPr>
          <w:rFonts w:asciiTheme="minorHAnsi" w:hAnsiTheme="minorHAnsi"/>
        </w:rPr>
        <w:t>začíná pozvolný pokles celkového počtu osobních vozidel na úroveň cca 5,5 mil vozidel k</w:t>
      </w:r>
      <w:r w:rsidR="00CF2351" w:rsidRPr="00B07D79">
        <w:rPr>
          <w:rFonts w:asciiTheme="minorHAnsi" w:hAnsiTheme="minorHAnsi"/>
        </w:rPr>
        <w:t> </w:t>
      </w:r>
      <w:r w:rsidRPr="00B07D79">
        <w:rPr>
          <w:rFonts w:asciiTheme="minorHAnsi" w:hAnsiTheme="minorHAnsi"/>
        </w:rPr>
        <w:t>roku 2045.</w:t>
      </w:r>
    </w:p>
    <w:p w14:paraId="0A172E17" w14:textId="06A4003D" w:rsidR="00BF2BD1" w:rsidRPr="00B07D79" w:rsidRDefault="00BF2BD1" w:rsidP="00B07D79">
      <w:pPr>
        <w:spacing w:line="276" w:lineRule="auto"/>
        <w:jc w:val="both"/>
        <w:rPr>
          <w:rFonts w:asciiTheme="minorHAnsi" w:hAnsiTheme="minorHAnsi"/>
        </w:rPr>
      </w:pPr>
      <w:r w:rsidRPr="00B07D79">
        <w:rPr>
          <w:rFonts w:asciiTheme="minorHAnsi" w:hAnsiTheme="minorHAnsi"/>
        </w:rPr>
        <w:t>Křivky vývoje počtu elektrických vozidel ilustrují strmost přechodu k</w:t>
      </w:r>
      <w:r w:rsidR="00CF2351" w:rsidRPr="00B07D79">
        <w:rPr>
          <w:rFonts w:asciiTheme="minorHAnsi" w:hAnsiTheme="minorHAnsi"/>
        </w:rPr>
        <w:t> </w:t>
      </w:r>
      <w:r w:rsidRPr="00B07D79">
        <w:rPr>
          <w:rFonts w:asciiTheme="minorHAnsi" w:hAnsiTheme="minorHAnsi"/>
        </w:rPr>
        <w:t>elektromobilitě v</w:t>
      </w:r>
      <w:r w:rsidR="00CF2351" w:rsidRPr="00B07D79">
        <w:rPr>
          <w:rFonts w:asciiTheme="minorHAnsi" w:hAnsiTheme="minorHAnsi"/>
        </w:rPr>
        <w:t> </w:t>
      </w:r>
      <w:r w:rsidRPr="00B07D79">
        <w:rPr>
          <w:rFonts w:asciiTheme="minorHAnsi" w:hAnsiTheme="minorHAnsi"/>
        </w:rPr>
        <w:t>závislosti na zvoleném scénáři rozvoje elektromobility. Střední scénář v</w:t>
      </w:r>
      <w:r w:rsidR="00CF2351" w:rsidRPr="00B07D79">
        <w:rPr>
          <w:rFonts w:asciiTheme="minorHAnsi" w:hAnsiTheme="minorHAnsi"/>
        </w:rPr>
        <w:t> </w:t>
      </w:r>
      <w:r w:rsidRPr="00B07D79">
        <w:rPr>
          <w:rFonts w:asciiTheme="minorHAnsi" w:hAnsiTheme="minorHAnsi"/>
        </w:rPr>
        <w:t>podstatě kopíruje vysoký scénář s</w:t>
      </w:r>
      <w:r w:rsidR="00CF2351" w:rsidRPr="00B07D79">
        <w:rPr>
          <w:rFonts w:asciiTheme="minorHAnsi" w:hAnsiTheme="minorHAnsi"/>
        </w:rPr>
        <w:t> </w:t>
      </w:r>
      <w:r w:rsidRPr="00B07D79">
        <w:rPr>
          <w:rFonts w:asciiTheme="minorHAnsi" w:hAnsiTheme="minorHAnsi"/>
        </w:rPr>
        <w:t>5letým zpožděním. Vysoký scénář dosahuje nejvyšší rychlosti obměny vozového parku okolo roku 2035. Pro tento rok se v</w:t>
      </w:r>
      <w:r w:rsidR="00CF2351" w:rsidRPr="00B07D79">
        <w:rPr>
          <w:rFonts w:asciiTheme="minorHAnsi" w:hAnsiTheme="minorHAnsi"/>
        </w:rPr>
        <w:t> </w:t>
      </w:r>
      <w:r w:rsidRPr="00B07D79">
        <w:rPr>
          <w:rFonts w:asciiTheme="minorHAnsi" w:hAnsiTheme="minorHAnsi"/>
        </w:rPr>
        <w:t>tomto scénáři uvažuje dosažení maximálního podílu elektromobilů na nových registracích a</w:t>
      </w:r>
      <w:r w:rsidR="00CF2351" w:rsidRPr="00B07D79">
        <w:rPr>
          <w:rFonts w:asciiTheme="minorHAnsi" w:hAnsiTheme="minorHAnsi"/>
        </w:rPr>
        <w:t> </w:t>
      </w:r>
      <w:r w:rsidRPr="00B07D79">
        <w:rPr>
          <w:rFonts w:asciiTheme="minorHAnsi" w:hAnsiTheme="minorHAnsi"/>
        </w:rPr>
        <w:t>současně se ještě výrazně neprojevuje dožívání starších EV. Poté se na křivce vysokého scénáře začíná projevovat určité zpomalení vycházející právě z</w:t>
      </w:r>
      <w:r w:rsidR="00CF2351" w:rsidRPr="00B07D79">
        <w:rPr>
          <w:rFonts w:asciiTheme="minorHAnsi" w:hAnsiTheme="minorHAnsi"/>
        </w:rPr>
        <w:t> </w:t>
      </w:r>
      <w:r w:rsidRPr="00B07D79">
        <w:rPr>
          <w:rFonts w:asciiTheme="minorHAnsi" w:hAnsiTheme="minorHAnsi"/>
        </w:rPr>
        <w:t>dožívání starších modelů EV. Současně se na tomto trendu projevuje přiblížení k</w:t>
      </w:r>
      <w:r w:rsidR="00CF2351" w:rsidRPr="00B07D79">
        <w:rPr>
          <w:rFonts w:asciiTheme="minorHAnsi" w:hAnsiTheme="minorHAnsi"/>
        </w:rPr>
        <w:t> </w:t>
      </w:r>
      <w:r w:rsidRPr="00B07D79">
        <w:rPr>
          <w:rFonts w:asciiTheme="minorHAnsi" w:hAnsiTheme="minorHAnsi"/>
        </w:rPr>
        <w:t xml:space="preserve">celkovému počtu osobních vozidel, od kterého je třeba ještě odečíst </w:t>
      </w:r>
      <w:r w:rsidR="002722A0" w:rsidRPr="00B07D79">
        <w:rPr>
          <w:rFonts w:asciiTheme="minorHAnsi" w:hAnsiTheme="minorHAnsi"/>
        </w:rPr>
        <w:t xml:space="preserve">část trhu </w:t>
      </w:r>
      <w:r w:rsidRPr="00B07D79">
        <w:rPr>
          <w:rFonts w:asciiTheme="minorHAnsi" w:hAnsiTheme="minorHAnsi"/>
        </w:rPr>
        <w:t>alokovaných pro vodíková vozidla, která nejsou v</w:t>
      </w:r>
      <w:r w:rsidR="00CF2351" w:rsidRPr="00B07D79">
        <w:rPr>
          <w:rFonts w:asciiTheme="minorHAnsi" w:hAnsiTheme="minorHAnsi"/>
        </w:rPr>
        <w:t> </w:t>
      </w:r>
      <w:r w:rsidRPr="00B07D79">
        <w:rPr>
          <w:rFonts w:asciiTheme="minorHAnsi" w:hAnsiTheme="minorHAnsi"/>
        </w:rPr>
        <w:t>křivce počtu elektrických vozidel započtena.</w:t>
      </w:r>
    </w:p>
    <w:p w14:paraId="364FE652" w14:textId="77777777" w:rsidR="00BF2BD1" w:rsidRPr="005E2F84" w:rsidRDefault="00BF2BD1" w:rsidP="00B07D79">
      <w:pPr>
        <w:spacing w:line="276" w:lineRule="auto"/>
        <w:jc w:val="both"/>
        <w:rPr>
          <w:rFonts w:asciiTheme="minorHAnsi" w:hAnsiTheme="minorHAnsi"/>
          <w:color w:val="385623" w:themeColor="accent6" w:themeShade="80"/>
        </w:rPr>
      </w:pPr>
      <w:r w:rsidRPr="005E2F84">
        <w:rPr>
          <w:rFonts w:asciiTheme="minorHAnsi" w:hAnsiTheme="minorHAnsi"/>
          <w:color w:val="385623" w:themeColor="accent6" w:themeShade="80"/>
        </w:rPr>
        <w:t>Lehká užitková vozidla</w:t>
      </w:r>
    </w:p>
    <w:p w14:paraId="3243B9F2" w14:textId="5FF449A4" w:rsidR="00BF2BD1" w:rsidRPr="00B07D79" w:rsidRDefault="00BF2BD1" w:rsidP="00B07D79">
      <w:pPr>
        <w:spacing w:line="276" w:lineRule="auto"/>
        <w:jc w:val="both"/>
        <w:rPr>
          <w:rFonts w:asciiTheme="minorHAnsi" w:hAnsiTheme="minorHAnsi"/>
        </w:rPr>
      </w:pPr>
      <w:r w:rsidRPr="00B07D79">
        <w:rPr>
          <w:rFonts w:asciiTheme="minorHAnsi" w:hAnsiTheme="minorHAnsi"/>
        </w:rPr>
        <w:t>Pro predikci celkového počtu vozidel typu LUV se využil stávající trend růstu z</w:t>
      </w:r>
      <w:r w:rsidR="00CF2351" w:rsidRPr="00B07D79">
        <w:rPr>
          <w:rFonts w:asciiTheme="minorHAnsi" w:hAnsiTheme="minorHAnsi"/>
        </w:rPr>
        <w:t> </w:t>
      </w:r>
      <w:r w:rsidRPr="00B07D79">
        <w:rPr>
          <w:rFonts w:asciiTheme="minorHAnsi" w:hAnsiTheme="minorHAnsi"/>
        </w:rPr>
        <w:t xml:space="preserve">aktuálních </w:t>
      </w:r>
      <w:r w:rsidR="009A7DE7" w:rsidRPr="00B07D79">
        <w:rPr>
          <w:rFonts w:asciiTheme="minorHAnsi" w:hAnsiTheme="minorHAnsi"/>
        </w:rPr>
        <w:t xml:space="preserve">cca </w:t>
      </w:r>
      <w:r w:rsidRPr="00B07D79">
        <w:rPr>
          <w:rFonts w:asciiTheme="minorHAnsi" w:hAnsiTheme="minorHAnsi"/>
        </w:rPr>
        <w:t>600 tis. vozidel s</w:t>
      </w:r>
      <w:r w:rsidR="00CF2351" w:rsidRPr="00B07D79">
        <w:rPr>
          <w:rFonts w:asciiTheme="minorHAnsi" w:hAnsiTheme="minorHAnsi"/>
        </w:rPr>
        <w:t> </w:t>
      </w:r>
      <w:r w:rsidRPr="00B07D79">
        <w:rPr>
          <w:rFonts w:asciiTheme="minorHAnsi" w:hAnsiTheme="minorHAnsi"/>
        </w:rPr>
        <w:t>postupným zpomalením nárůstu celkového počtu vozidel a</w:t>
      </w:r>
      <w:r w:rsidR="00CF2351" w:rsidRPr="00B07D79">
        <w:rPr>
          <w:rFonts w:asciiTheme="minorHAnsi" w:hAnsiTheme="minorHAnsi"/>
        </w:rPr>
        <w:t> </w:t>
      </w:r>
      <w:r w:rsidRPr="00B07D79">
        <w:rPr>
          <w:rFonts w:asciiTheme="minorHAnsi" w:hAnsiTheme="minorHAnsi"/>
        </w:rPr>
        <w:t xml:space="preserve">následně stagnace na počtu cca 650 tis. </w:t>
      </w:r>
      <w:r w:rsidR="004E5307" w:rsidRPr="00B07D79">
        <w:rPr>
          <w:rFonts w:asciiTheme="minorHAnsi" w:hAnsiTheme="minorHAnsi"/>
        </w:rPr>
        <w:t>v</w:t>
      </w:r>
      <w:r w:rsidRPr="00B07D79">
        <w:rPr>
          <w:rFonts w:asciiTheme="minorHAnsi" w:hAnsiTheme="minorHAnsi"/>
        </w:rPr>
        <w:t>ozidel.</w:t>
      </w:r>
    </w:p>
    <w:p w14:paraId="6B4150CD" w14:textId="7F4A5B76" w:rsidR="00BF2BD1" w:rsidRPr="00B07D79" w:rsidRDefault="009A7DE7" w:rsidP="00B07D79">
      <w:pPr>
        <w:spacing w:line="276" w:lineRule="auto"/>
        <w:jc w:val="both"/>
        <w:rPr>
          <w:rFonts w:asciiTheme="minorHAnsi" w:hAnsiTheme="minorHAnsi"/>
        </w:rPr>
      </w:pPr>
      <w:r w:rsidRPr="00B07D79">
        <w:rPr>
          <w:rFonts w:asciiTheme="minorHAnsi" w:hAnsiTheme="minorHAnsi"/>
        </w:rPr>
        <w:t>Nízký scénář představuje velmi mírný rozvoj elektromobility.</w:t>
      </w:r>
      <w:r w:rsidR="00BF2BD1" w:rsidRPr="00B07D79">
        <w:rPr>
          <w:rFonts w:asciiTheme="minorHAnsi" w:hAnsiTheme="minorHAnsi"/>
        </w:rPr>
        <w:t xml:space="preserve"> </w:t>
      </w:r>
    </w:p>
    <w:p w14:paraId="43C5CB26" w14:textId="31E872C1" w:rsidR="00BF2BD1" w:rsidRPr="00B07D79" w:rsidRDefault="00BF2BD1" w:rsidP="00B07D79">
      <w:pPr>
        <w:spacing w:line="276" w:lineRule="auto"/>
        <w:jc w:val="both"/>
        <w:rPr>
          <w:rFonts w:asciiTheme="minorHAnsi" w:hAnsiTheme="minorHAnsi"/>
        </w:rPr>
      </w:pPr>
      <w:r w:rsidRPr="00B07D79">
        <w:rPr>
          <w:rFonts w:asciiTheme="minorHAnsi" w:hAnsiTheme="minorHAnsi"/>
        </w:rPr>
        <w:t>Střední scénář je navázán na vysoký scénář s</w:t>
      </w:r>
      <w:r w:rsidR="00CF2351" w:rsidRPr="00B07D79">
        <w:rPr>
          <w:rFonts w:asciiTheme="minorHAnsi" w:hAnsiTheme="minorHAnsi"/>
        </w:rPr>
        <w:t> </w:t>
      </w:r>
      <w:r w:rsidRPr="00B07D79">
        <w:rPr>
          <w:rFonts w:asciiTheme="minorHAnsi" w:hAnsiTheme="minorHAnsi"/>
        </w:rPr>
        <w:t>5letým zpožděním podílů elektromobilů na</w:t>
      </w:r>
      <w:r w:rsidR="008126E4" w:rsidRPr="00B07D79">
        <w:rPr>
          <w:rFonts w:asciiTheme="minorHAnsi" w:hAnsiTheme="minorHAnsi"/>
        </w:rPr>
        <w:t> </w:t>
      </w:r>
      <w:r w:rsidRPr="00B07D79">
        <w:rPr>
          <w:rFonts w:asciiTheme="minorHAnsi" w:hAnsiTheme="minorHAnsi"/>
        </w:rPr>
        <w:t xml:space="preserve">nových registracích. </w:t>
      </w:r>
    </w:p>
    <w:p w14:paraId="160F4241" w14:textId="61C35DAA" w:rsidR="00BF2BD1" w:rsidRPr="00B07D79" w:rsidRDefault="00BF2BD1" w:rsidP="00B07D79">
      <w:pPr>
        <w:spacing w:line="276" w:lineRule="auto"/>
        <w:jc w:val="both"/>
        <w:rPr>
          <w:rFonts w:asciiTheme="minorHAnsi" w:hAnsiTheme="minorHAnsi"/>
        </w:rPr>
      </w:pPr>
      <w:r w:rsidRPr="00B07D79">
        <w:rPr>
          <w:rFonts w:asciiTheme="minorHAnsi" w:hAnsiTheme="minorHAnsi"/>
        </w:rPr>
        <w:t>Vysoký scénář je v</w:t>
      </w:r>
      <w:r w:rsidR="00CF2351" w:rsidRPr="00B07D79">
        <w:rPr>
          <w:rFonts w:asciiTheme="minorHAnsi" w:hAnsiTheme="minorHAnsi"/>
        </w:rPr>
        <w:t> </w:t>
      </w:r>
      <w:r w:rsidRPr="00B07D79">
        <w:rPr>
          <w:rFonts w:asciiTheme="minorHAnsi" w:hAnsiTheme="minorHAnsi"/>
        </w:rPr>
        <w:t>souladu s</w:t>
      </w:r>
      <w:r w:rsidR="00CF2351" w:rsidRPr="00B07D79">
        <w:rPr>
          <w:rFonts w:asciiTheme="minorHAnsi" w:hAnsiTheme="minorHAnsi"/>
        </w:rPr>
        <w:t> </w:t>
      </w:r>
      <w:r w:rsidRPr="00B07D79">
        <w:rPr>
          <w:rFonts w:asciiTheme="minorHAnsi" w:hAnsiTheme="minorHAnsi"/>
        </w:rPr>
        <w:t xml:space="preserve">návrhem „Fit </w:t>
      </w:r>
      <w:proofErr w:type="spellStart"/>
      <w:r w:rsidRPr="00B07D79">
        <w:rPr>
          <w:rFonts w:asciiTheme="minorHAnsi" w:hAnsiTheme="minorHAnsi"/>
        </w:rPr>
        <w:t>for</w:t>
      </w:r>
      <w:proofErr w:type="spellEnd"/>
      <w:r w:rsidRPr="00B07D79">
        <w:rPr>
          <w:rFonts w:asciiTheme="minorHAnsi" w:hAnsiTheme="minorHAnsi"/>
        </w:rPr>
        <w:t xml:space="preserve"> 55“. Návrh, který je součástí tohoto klimatického balíčku, navyšuje dřívější cíle a</w:t>
      </w:r>
      <w:r w:rsidR="00CF2351" w:rsidRPr="00B07D79">
        <w:rPr>
          <w:rFonts w:asciiTheme="minorHAnsi" w:hAnsiTheme="minorHAnsi"/>
        </w:rPr>
        <w:t> </w:t>
      </w:r>
      <w:r w:rsidRPr="00B07D79">
        <w:rPr>
          <w:rFonts w:asciiTheme="minorHAnsi" w:hAnsiTheme="minorHAnsi"/>
        </w:rPr>
        <w:t>v roce 2030 požaduje 50% snížení emisí CO</w:t>
      </w:r>
      <w:r w:rsidRPr="00B07D79">
        <w:rPr>
          <w:rFonts w:asciiTheme="minorHAnsi" w:hAnsiTheme="minorHAnsi"/>
          <w:vertAlign w:val="subscript"/>
        </w:rPr>
        <w:t>2</w:t>
      </w:r>
      <w:r w:rsidRPr="00B07D79">
        <w:rPr>
          <w:rFonts w:asciiTheme="minorHAnsi" w:hAnsiTheme="minorHAnsi"/>
        </w:rPr>
        <w:t xml:space="preserve"> nově prodaných vozidel typu LUV oproti cílům 2021. V</w:t>
      </w:r>
      <w:r w:rsidR="00CF2351" w:rsidRPr="00B07D79">
        <w:rPr>
          <w:rFonts w:asciiTheme="minorHAnsi" w:hAnsiTheme="minorHAnsi"/>
        </w:rPr>
        <w:t> </w:t>
      </w:r>
      <w:r w:rsidRPr="00B07D79">
        <w:rPr>
          <w:rFonts w:asciiTheme="minorHAnsi" w:hAnsiTheme="minorHAnsi"/>
        </w:rPr>
        <w:t>roce 2035 by se již v</w:t>
      </w:r>
      <w:r w:rsidR="00CF2351" w:rsidRPr="00B07D79">
        <w:rPr>
          <w:rFonts w:asciiTheme="minorHAnsi" w:hAnsiTheme="minorHAnsi"/>
        </w:rPr>
        <w:t> </w:t>
      </w:r>
      <w:r w:rsidRPr="00B07D79">
        <w:rPr>
          <w:rFonts w:asciiTheme="minorHAnsi" w:hAnsiTheme="minorHAnsi"/>
        </w:rPr>
        <w:t>EU měla prodávat pouze bezemisní vozidla typu LUV. Tento scénář uvažuje, že tyto požadavky se projeví i</w:t>
      </w:r>
      <w:r w:rsidR="00CF2351" w:rsidRPr="00B07D79">
        <w:rPr>
          <w:rFonts w:asciiTheme="minorHAnsi" w:hAnsiTheme="minorHAnsi"/>
        </w:rPr>
        <w:t> </w:t>
      </w:r>
      <w:r w:rsidRPr="00B07D79">
        <w:rPr>
          <w:rFonts w:asciiTheme="minorHAnsi" w:hAnsiTheme="minorHAnsi"/>
        </w:rPr>
        <w:t>na</w:t>
      </w:r>
      <w:r w:rsidR="008126E4" w:rsidRPr="00B07D79">
        <w:rPr>
          <w:rFonts w:asciiTheme="minorHAnsi" w:hAnsiTheme="minorHAnsi"/>
        </w:rPr>
        <w:t> </w:t>
      </w:r>
      <w:r w:rsidRPr="00B07D79">
        <w:rPr>
          <w:rFonts w:asciiTheme="minorHAnsi" w:hAnsiTheme="minorHAnsi"/>
        </w:rPr>
        <w:t>území ČR bezodkladně.</w:t>
      </w:r>
    </w:p>
    <w:p w14:paraId="626D7C19" w14:textId="2B1FD5DF" w:rsidR="00BF2BD1" w:rsidRPr="005E2F84" w:rsidRDefault="00BF2BD1"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Tabulka </w:t>
      </w:r>
      <w:r w:rsidRPr="005E2F84">
        <w:rPr>
          <w:rFonts w:asciiTheme="minorHAnsi" w:hAnsiTheme="minorHAnsi"/>
          <w:b w:val="0"/>
          <w:bCs w:val="0"/>
          <w:color w:val="385623" w:themeColor="accent6" w:themeShade="80"/>
        </w:rPr>
        <w:fldChar w:fldCharType="begin"/>
      </w:r>
      <w:r w:rsidRPr="005E2F84">
        <w:rPr>
          <w:rFonts w:asciiTheme="minorHAnsi" w:hAnsiTheme="minorHAnsi"/>
          <w:b w:val="0"/>
          <w:bCs w:val="0"/>
          <w:color w:val="385623" w:themeColor="accent6" w:themeShade="80"/>
        </w:rPr>
        <w:instrText>SEQ Tabulka \* ARABIC</w:instrText>
      </w:r>
      <w:r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7</w:t>
      </w:r>
      <w:r w:rsidRPr="005E2F84">
        <w:rPr>
          <w:rFonts w:asciiTheme="minorHAnsi" w:hAnsiTheme="minorHAnsi"/>
          <w:b w:val="0"/>
          <w:bCs w:val="0"/>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Přehled uvažovaných podílů EV na nových registracích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kumulované počty vozidel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jednotlivých časových řezech</w:t>
      </w:r>
    </w:p>
    <w:p w14:paraId="5D64CE0E"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7F41C480" wp14:editId="3FFB04E0">
            <wp:extent cx="5760720" cy="2446020"/>
            <wp:effectExtent l="0" t="0" r="0" b="0"/>
            <wp:docPr id="26154177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7959" name="Picture 3"/>
                    <pic:cNvPicPr>
                      <a:picLocks noChangeAspect="1" noChangeArrowheads="1"/>
                    </pic:cNvPicPr>
                  </pic:nvPicPr>
                  <pic:blipFill>
                    <a:blip r:embed="rId73" cstate="print">
                      <a:duotone>
                        <a:prstClr val="black"/>
                        <a:schemeClr val="accent6">
                          <a:lumMod val="40000"/>
                          <a:lumOff val="60000"/>
                          <a:tint val="45000"/>
                          <a:satMod val="400000"/>
                        </a:schemeClr>
                      </a:duotone>
                      <a:extLst>
                        <a:ext uri="{28A0092B-C50C-407E-A947-70E740481C1C}">
                          <a14:useLocalDpi xmlns:a14="http://schemas.microsoft.com/office/drawing/2010/main" val="0"/>
                        </a:ext>
                      </a:extLst>
                    </a:blip>
                    <a:srcRect b="11081"/>
                    <a:stretch>
                      <a:fillRect/>
                    </a:stretch>
                  </pic:blipFill>
                  <pic:spPr bwMode="auto">
                    <a:xfrm>
                      <a:off x="0" y="0"/>
                      <a:ext cx="576072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0766821E" w14:textId="1E65041D" w:rsidR="00BF2BD1" w:rsidRPr="005E2F84" w:rsidRDefault="00BF2BD1"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9A7DE7"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029A6915" w14:textId="0391E2A1" w:rsidR="00BF2BD1" w:rsidRPr="005E2F84" w:rsidRDefault="00BF2BD1"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7D4BC4" w:rsidRPr="005E2F84">
        <w:rPr>
          <w:rFonts w:asciiTheme="minorHAnsi" w:hAnsiTheme="minorHAnsi"/>
          <w:b w:val="0"/>
          <w:bCs w:val="0"/>
          <w:color w:val="385623" w:themeColor="accent6" w:themeShade="80"/>
        </w:rPr>
        <w:t xml:space="preserve">32 </w:t>
      </w:r>
      <w:r w:rsidRPr="005E2F84">
        <w:rPr>
          <w:rFonts w:asciiTheme="minorHAnsi" w:hAnsiTheme="minorHAnsi"/>
          <w:b w:val="0"/>
          <w:bCs w:val="0"/>
          <w:color w:val="385623" w:themeColor="accent6" w:themeShade="80"/>
        </w:rPr>
        <w:t>Projekce vývoje počtu elektrických LUV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všech LUV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p w14:paraId="716AE07B"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2C32B423" wp14:editId="30357A75">
            <wp:extent cx="5760720" cy="2537460"/>
            <wp:effectExtent l="0" t="0" r="0" b="0"/>
            <wp:docPr id="191164843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29134" name="Picture 4"/>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760720" cy="2537460"/>
                    </a:xfrm>
                    <a:prstGeom prst="rect">
                      <a:avLst/>
                    </a:prstGeom>
                    <a:noFill/>
                    <a:ln>
                      <a:noFill/>
                    </a:ln>
                  </pic:spPr>
                </pic:pic>
              </a:graphicData>
            </a:graphic>
          </wp:inline>
        </w:drawing>
      </w:r>
    </w:p>
    <w:p w14:paraId="2A9C5110" w14:textId="5CFC6554" w:rsidR="00BF2BD1" w:rsidRPr="005E2F84" w:rsidRDefault="00BF2BD1"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9A7DE7"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49DEA78E" w14:textId="054902D3" w:rsidR="00BF2BD1" w:rsidRPr="00B07D79" w:rsidRDefault="00BF2BD1" w:rsidP="00B07D79">
      <w:pPr>
        <w:spacing w:line="276" w:lineRule="auto"/>
        <w:jc w:val="both"/>
        <w:rPr>
          <w:rFonts w:asciiTheme="minorHAnsi" w:hAnsiTheme="minorHAnsi"/>
        </w:rPr>
      </w:pPr>
      <w:r w:rsidRPr="00B07D79">
        <w:rPr>
          <w:rFonts w:asciiTheme="minorHAnsi" w:hAnsiTheme="minorHAnsi"/>
        </w:rPr>
        <w:t>Obrázek ilustruje, že přibližně v</w:t>
      </w:r>
      <w:r w:rsidR="00CF2351" w:rsidRPr="00B07D79">
        <w:rPr>
          <w:rFonts w:asciiTheme="minorHAnsi" w:hAnsiTheme="minorHAnsi"/>
        </w:rPr>
        <w:t> </w:t>
      </w:r>
      <w:r w:rsidRPr="00B07D79">
        <w:rPr>
          <w:rFonts w:asciiTheme="minorHAnsi" w:hAnsiTheme="minorHAnsi"/>
        </w:rPr>
        <w:t>první dekádě se uvažuje s</w:t>
      </w:r>
      <w:r w:rsidR="00CF2351" w:rsidRPr="00B07D79">
        <w:rPr>
          <w:rFonts w:asciiTheme="minorHAnsi" w:hAnsiTheme="minorHAnsi"/>
        </w:rPr>
        <w:t> </w:t>
      </w:r>
      <w:r w:rsidRPr="00B07D79">
        <w:rPr>
          <w:rFonts w:asciiTheme="minorHAnsi" w:hAnsiTheme="minorHAnsi"/>
        </w:rPr>
        <w:t>mírným růstem celkového počtu vozidel typu LUV v</w:t>
      </w:r>
      <w:r w:rsidR="00CF2351" w:rsidRPr="00B07D79">
        <w:rPr>
          <w:rFonts w:asciiTheme="minorHAnsi" w:hAnsiTheme="minorHAnsi"/>
        </w:rPr>
        <w:t> </w:t>
      </w:r>
      <w:r w:rsidRPr="00B07D79">
        <w:rPr>
          <w:rFonts w:asciiTheme="minorHAnsi" w:hAnsiTheme="minorHAnsi"/>
        </w:rPr>
        <w:t>ČR. Následně pak dochází ke stagnaci celkového počtu LUV na hodnotě 650 tis. vozidel.</w:t>
      </w:r>
    </w:p>
    <w:p w14:paraId="7DCEDD21" w14:textId="77777777" w:rsidR="00BF2BD1" w:rsidRPr="005E2F84" w:rsidRDefault="00BF2BD1" w:rsidP="00B07D79">
      <w:pPr>
        <w:spacing w:line="276" w:lineRule="auto"/>
        <w:jc w:val="both"/>
        <w:rPr>
          <w:rFonts w:asciiTheme="minorHAnsi" w:hAnsiTheme="minorHAnsi"/>
          <w:color w:val="385623" w:themeColor="accent6" w:themeShade="80"/>
        </w:rPr>
      </w:pPr>
      <w:r w:rsidRPr="005E2F84">
        <w:rPr>
          <w:rFonts w:asciiTheme="minorHAnsi" w:hAnsiTheme="minorHAnsi"/>
          <w:color w:val="385623" w:themeColor="accent6" w:themeShade="80"/>
        </w:rPr>
        <w:t>Autobusy</w:t>
      </w:r>
    </w:p>
    <w:p w14:paraId="0406466F" w14:textId="1A7E686A" w:rsidR="00BF2BD1" w:rsidRPr="00B07D79" w:rsidRDefault="00BF2BD1" w:rsidP="00B07D79">
      <w:pPr>
        <w:spacing w:line="276" w:lineRule="auto"/>
        <w:jc w:val="both"/>
        <w:rPr>
          <w:rFonts w:asciiTheme="minorHAnsi" w:hAnsiTheme="minorHAnsi"/>
        </w:rPr>
      </w:pPr>
      <w:r w:rsidRPr="00B07D79">
        <w:rPr>
          <w:rFonts w:asciiTheme="minorHAnsi" w:hAnsiTheme="minorHAnsi"/>
        </w:rPr>
        <w:t>Vzhledem ke způsobu využití a</w:t>
      </w:r>
      <w:r w:rsidR="00CF2351" w:rsidRPr="00B07D79">
        <w:rPr>
          <w:rFonts w:asciiTheme="minorHAnsi" w:hAnsiTheme="minorHAnsi"/>
        </w:rPr>
        <w:t> </w:t>
      </w:r>
      <w:r w:rsidRPr="00B07D79">
        <w:rPr>
          <w:rFonts w:asciiTheme="minorHAnsi" w:hAnsiTheme="minorHAnsi"/>
        </w:rPr>
        <w:t>možnostem dobíjení je v</w:t>
      </w:r>
      <w:r w:rsidR="00CF2351" w:rsidRPr="00B07D79">
        <w:rPr>
          <w:rFonts w:asciiTheme="minorHAnsi" w:hAnsiTheme="minorHAnsi"/>
        </w:rPr>
        <w:t> </w:t>
      </w:r>
      <w:r w:rsidRPr="00B07D79">
        <w:rPr>
          <w:rFonts w:asciiTheme="minorHAnsi" w:hAnsiTheme="minorHAnsi"/>
        </w:rPr>
        <w:t>tomto segmentu uvažováno pouze s</w:t>
      </w:r>
      <w:r w:rsidR="00CF2351" w:rsidRPr="00B07D79">
        <w:rPr>
          <w:rFonts w:asciiTheme="minorHAnsi" w:hAnsiTheme="minorHAnsi"/>
        </w:rPr>
        <w:t> </w:t>
      </w:r>
      <w:r w:rsidRPr="00B07D79">
        <w:rPr>
          <w:rFonts w:asciiTheme="minorHAnsi" w:hAnsiTheme="minorHAnsi"/>
        </w:rPr>
        <w:t>elektrifikací autobusů v</w:t>
      </w:r>
      <w:r w:rsidR="00CF2351" w:rsidRPr="00B07D79">
        <w:rPr>
          <w:rFonts w:asciiTheme="minorHAnsi" w:hAnsiTheme="minorHAnsi"/>
        </w:rPr>
        <w:t> </w:t>
      </w:r>
      <w:r w:rsidRPr="00B07D79">
        <w:rPr>
          <w:rFonts w:asciiTheme="minorHAnsi" w:hAnsiTheme="minorHAnsi"/>
        </w:rPr>
        <w:t>rámci MHD. Jedná se o</w:t>
      </w:r>
      <w:r w:rsidR="00CF2351" w:rsidRPr="00B07D79">
        <w:rPr>
          <w:rFonts w:asciiTheme="minorHAnsi" w:hAnsiTheme="minorHAnsi"/>
        </w:rPr>
        <w:t> </w:t>
      </w:r>
      <w:r w:rsidRPr="00B07D79">
        <w:rPr>
          <w:rFonts w:asciiTheme="minorHAnsi" w:hAnsiTheme="minorHAnsi"/>
        </w:rPr>
        <w:t>bezmála 3 000 vozidel ve 21 městech, případně regionech.</w:t>
      </w:r>
    </w:p>
    <w:p w14:paraId="7FC8C525" w14:textId="6D5DDFD3" w:rsidR="00BF2BD1" w:rsidRPr="00B07D79" w:rsidRDefault="00BF2BD1" w:rsidP="00B07D79">
      <w:pPr>
        <w:spacing w:line="276" w:lineRule="auto"/>
        <w:jc w:val="both"/>
        <w:rPr>
          <w:rFonts w:asciiTheme="minorHAnsi" w:hAnsiTheme="minorHAnsi"/>
        </w:rPr>
      </w:pPr>
      <w:r w:rsidRPr="00B07D79">
        <w:rPr>
          <w:rFonts w:asciiTheme="minorHAnsi" w:hAnsiTheme="minorHAnsi"/>
        </w:rPr>
        <w:t>Nízký scénář rozvoje elektrobusů zůstává z</w:t>
      </w:r>
      <w:r w:rsidR="00CF2351" w:rsidRPr="00B07D79">
        <w:rPr>
          <w:rFonts w:asciiTheme="minorHAnsi" w:hAnsiTheme="minorHAnsi"/>
        </w:rPr>
        <w:t> </w:t>
      </w:r>
      <w:r w:rsidRPr="00B07D79">
        <w:rPr>
          <w:rFonts w:asciiTheme="minorHAnsi" w:hAnsiTheme="minorHAnsi"/>
        </w:rPr>
        <w:t>hlediska podílu elektrobusů na nových registrací</w:t>
      </w:r>
      <w:r w:rsidR="008638AC" w:rsidRPr="00B07D79">
        <w:rPr>
          <w:rFonts w:asciiTheme="minorHAnsi" w:hAnsiTheme="minorHAnsi"/>
        </w:rPr>
        <w:t>ch</w:t>
      </w:r>
      <w:r w:rsidRPr="00B07D79">
        <w:rPr>
          <w:rFonts w:asciiTheme="minorHAnsi" w:hAnsiTheme="minorHAnsi"/>
        </w:rPr>
        <w:t xml:space="preserve"> bez aktualizace. </w:t>
      </w:r>
    </w:p>
    <w:p w14:paraId="54401ED1" w14:textId="25B8711F" w:rsidR="00BF2BD1" w:rsidRPr="00B07D79" w:rsidRDefault="00BF2BD1" w:rsidP="00B07D79">
      <w:pPr>
        <w:spacing w:line="276" w:lineRule="auto"/>
        <w:jc w:val="both"/>
        <w:rPr>
          <w:rFonts w:asciiTheme="minorHAnsi" w:hAnsiTheme="minorHAnsi"/>
        </w:rPr>
      </w:pPr>
      <w:r w:rsidRPr="00B07D79">
        <w:rPr>
          <w:rFonts w:asciiTheme="minorHAnsi" w:hAnsiTheme="minorHAnsi"/>
        </w:rPr>
        <w:lastRenderedPageBreak/>
        <w:t>Střední scénář je navázán na vysoký scénář s</w:t>
      </w:r>
      <w:r w:rsidR="00CF2351" w:rsidRPr="00B07D79">
        <w:rPr>
          <w:rFonts w:asciiTheme="minorHAnsi" w:hAnsiTheme="minorHAnsi"/>
        </w:rPr>
        <w:t> </w:t>
      </w:r>
      <w:r w:rsidRPr="00B07D79">
        <w:rPr>
          <w:rFonts w:asciiTheme="minorHAnsi" w:hAnsiTheme="minorHAnsi"/>
        </w:rPr>
        <w:t xml:space="preserve">5letým zpožděním podílů elektrobusů na nových registracích. </w:t>
      </w:r>
    </w:p>
    <w:p w14:paraId="3AEB13DD" w14:textId="3A71D978" w:rsidR="00BF2BD1" w:rsidRPr="00B07D79" w:rsidRDefault="00BF2BD1" w:rsidP="00B07D79">
      <w:pPr>
        <w:spacing w:line="276" w:lineRule="auto"/>
        <w:jc w:val="both"/>
        <w:rPr>
          <w:rFonts w:asciiTheme="minorHAnsi" w:hAnsiTheme="minorHAnsi"/>
        </w:rPr>
      </w:pPr>
      <w:r w:rsidRPr="00B07D79">
        <w:rPr>
          <w:rFonts w:asciiTheme="minorHAnsi" w:hAnsiTheme="minorHAnsi"/>
        </w:rPr>
        <w:t>Vysoký scénář vychází z</w:t>
      </w:r>
      <w:r w:rsidR="00CF2351" w:rsidRPr="00B07D79">
        <w:rPr>
          <w:rFonts w:asciiTheme="minorHAnsi" w:hAnsiTheme="minorHAnsi"/>
        </w:rPr>
        <w:t> </w:t>
      </w:r>
      <w:r w:rsidRPr="00B07D79">
        <w:rPr>
          <w:rFonts w:asciiTheme="minorHAnsi" w:hAnsiTheme="minorHAnsi"/>
        </w:rPr>
        <w:t>vládního usnesení „Pravidla podpory nízkoemisních vozidel prostřednictvím zadávání veřejných zakázek a</w:t>
      </w:r>
      <w:r w:rsidR="00CF2351" w:rsidRPr="00B07D79">
        <w:rPr>
          <w:rFonts w:asciiTheme="minorHAnsi" w:hAnsiTheme="minorHAnsi"/>
        </w:rPr>
        <w:t> </w:t>
      </w:r>
      <w:r w:rsidRPr="00B07D79">
        <w:rPr>
          <w:rFonts w:asciiTheme="minorHAnsi" w:hAnsiTheme="minorHAnsi"/>
        </w:rPr>
        <w:t>veřejných služeb v</w:t>
      </w:r>
      <w:r w:rsidR="00CF2351" w:rsidRPr="00B07D79">
        <w:rPr>
          <w:rFonts w:asciiTheme="minorHAnsi" w:hAnsiTheme="minorHAnsi"/>
        </w:rPr>
        <w:t> </w:t>
      </w:r>
      <w:r w:rsidRPr="00B07D79">
        <w:rPr>
          <w:rFonts w:asciiTheme="minorHAnsi" w:hAnsiTheme="minorHAnsi"/>
        </w:rPr>
        <w:t>přepravě cestujících“. Toto usnesení požaduje 41% podíl nízkoemisních vozidel na veřejných zakázkách do roku 2025. Vysoký scénář uvažuje postupný růst tohoto podílu tak, že do roku 2030 je dosaženo 100% podílu bezemisních vozidel, přičemž 10 % je alokováno pro vodíková vozidla.</w:t>
      </w:r>
    </w:p>
    <w:p w14:paraId="6765DA40" w14:textId="4254710A" w:rsidR="00BF2BD1" w:rsidRPr="005E2F84" w:rsidRDefault="00BF2BD1"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Tabulka </w:t>
      </w:r>
      <w:r w:rsidRPr="005E2F84">
        <w:rPr>
          <w:rFonts w:asciiTheme="minorHAnsi" w:hAnsiTheme="minorHAnsi"/>
          <w:b w:val="0"/>
          <w:bCs w:val="0"/>
          <w:color w:val="385623" w:themeColor="accent6" w:themeShade="80"/>
        </w:rPr>
        <w:fldChar w:fldCharType="begin"/>
      </w:r>
      <w:r w:rsidRPr="005E2F84">
        <w:rPr>
          <w:rFonts w:asciiTheme="minorHAnsi" w:hAnsiTheme="minorHAnsi"/>
          <w:b w:val="0"/>
          <w:bCs w:val="0"/>
          <w:color w:val="385623" w:themeColor="accent6" w:themeShade="80"/>
        </w:rPr>
        <w:instrText>SEQ Tabulka \* ARABIC</w:instrText>
      </w:r>
      <w:r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8</w:t>
      </w:r>
      <w:r w:rsidRPr="005E2F84">
        <w:rPr>
          <w:rFonts w:asciiTheme="minorHAnsi" w:hAnsiTheme="minorHAnsi"/>
          <w:b w:val="0"/>
          <w:bCs w:val="0"/>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 xml:space="preserve">Přehled uvažovaných podílů e-busů </w:t>
      </w:r>
      <w:r w:rsidR="009A7DE7" w:rsidRPr="005E2F84">
        <w:rPr>
          <w:rFonts w:asciiTheme="minorHAnsi" w:hAnsiTheme="minorHAnsi"/>
          <w:b w:val="0"/>
          <w:bCs w:val="0"/>
          <w:color w:val="385623" w:themeColor="accent6" w:themeShade="80"/>
        </w:rPr>
        <w:t xml:space="preserve">(MHD) </w:t>
      </w:r>
      <w:r w:rsidRPr="005E2F84">
        <w:rPr>
          <w:rFonts w:asciiTheme="minorHAnsi" w:hAnsiTheme="minorHAnsi"/>
          <w:b w:val="0"/>
          <w:bCs w:val="0"/>
          <w:color w:val="385623" w:themeColor="accent6" w:themeShade="80"/>
        </w:rPr>
        <w:t>na nových registracích a</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kumulované počty vozidel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jednotlivých časových řezech</w:t>
      </w:r>
    </w:p>
    <w:p w14:paraId="5106996D"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0538D4B3" wp14:editId="07CCDC06">
            <wp:extent cx="5760720" cy="2446020"/>
            <wp:effectExtent l="0" t="0" r="0" b="0"/>
            <wp:docPr id="174784040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78830" name="Picture 5"/>
                    <pic:cNvPicPr>
                      <a:picLocks noChangeAspect="1" noChangeArrowheads="1"/>
                    </pic:cNvPicPr>
                  </pic:nvPicPr>
                  <pic:blipFill>
                    <a:blip r:embed="rId75" cstate="print">
                      <a:duotone>
                        <a:prstClr val="black"/>
                        <a:schemeClr val="accent6">
                          <a:lumMod val="40000"/>
                          <a:lumOff val="60000"/>
                          <a:tint val="45000"/>
                          <a:satMod val="400000"/>
                        </a:schemeClr>
                      </a:duotone>
                      <a:extLst>
                        <a:ext uri="{28A0092B-C50C-407E-A947-70E740481C1C}">
                          <a14:useLocalDpi xmlns:a14="http://schemas.microsoft.com/office/drawing/2010/main" val="0"/>
                        </a:ext>
                      </a:extLst>
                    </a:blip>
                    <a:srcRect b="11081"/>
                    <a:stretch>
                      <a:fillRect/>
                    </a:stretch>
                  </pic:blipFill>
                  <pic:spPr bwMode="auto">
                    <a:xfrm>
                      <a:off x="0" y="0"/>
                      <a:ext cx="5760720" cy="2446020"/>
                    </a:xfrm>
                    <a:prstGeom prst="rect">
                      <a:avLst/>
                    </a:prstGeom>
                    <a:noFill/>
                    <a:ln>
                      <a:noFill/>
                    </a:ln>
                    <a:extLst>
                      <a:ext uri="{53640926-AAD7-44D8-BBD7-CCE9431645EC}">
                        <a14:shadowObscured xmlns:a14="http://schemas.microsoft.com/office/drawing/2010/main"/>
                      </a:ext>
                    </a:extLst>
                  </pic:spPr>
                </pic:pic>
              </a:graphicData>
            </a:graphic>
          </wp:inline>
        </w:drawing>
      </w:r>
    </w:p>
    <w:p w14:paraId="538A7A1B" w14:textId="4C3C3682" w:rsidR="00BF2BD1" w:rsidRPr="005E2F84" w:rsidRDefault="00BF2BD1"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9A7DE7"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027B3A0D"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br w:type="page"/>
      </w:r>
    </w:p>
    <w:p w14:paraId="4C6EA8D6" w14:textId="248DC5BE" w:rsidR="00BF2BD1" w:rsidRPr="005E2F84" w:rsidRDefault="00BF2BD1"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Obrázek </w:t>
      </w:r>
      <w:r w:rsidR="007D4BC4" w:rsidRPr="005E2F84">
        <w:rPr>
          <w:rFonts w:asciiTheme="minorHAnsi" w:hAnsiTheme="minorHAnsi"/>
          <w:b w:val="0"/>
          <w:bCs w:val="0"/>
          <w:color w:val="385623" w:themeColor="accent6" w:themeShade="80"/>
        </w:rPr>
        <w:t>33</w:t>
      </w:r>
      <w:r w:rsid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Projekce vývoje počtu elektrobusů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rámci MHD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p w14:paraId="11AD3B17"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3DC08DF0" wp14:editId="1F120CF3">
            <wp:extent cx="5760720" cy="2598420"/>
            <wp:effectExtent l="0" t="0" r="0" b="0"/>
            <wp:docPr id="66105837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96214" name="Picture 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760720" cy="2598420"/>
                    </a:xfrm>
                    <a:prstGeom prst="rect">
                      <a:avLst/>
                    </a:prstGeom>
                    <a:noFill/>
                    <a:ln>
                      <a:noFill/>
                    </a:ln>
                  </pic:spPr>
                </pic:pic>
              </a:graphicData>
            </a:graphic>
          </wp:inline>
        </w:drawing>
      </w:r>
    </w:p>
    <w:p w14:paraId="356B1F56" w14:textId="13F103B9" w:rsidR="00BF2BD1" w:rsidRPr="005E2F84" w:rsidRDefault="00BF2BD1"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w:t>
      </w:r>
      <w:r w:rsidR="009A7DE7" w:rsidRPr="005E2F84">
        <w:rPr>
          <w:rFonts w:asciiTheme="minorHAnsi" w:hAnsiTheme="minorHAnsi"/>
          <w:i/>
          <w:iCs/>
          <w:color w:val="385623" w:themeColor="accent6" w:themeShade="80"/>
          <w:sz w:val="20"/>
          <w:szCs w:val="22"/>
        </w:rPr>
        <w:t>4</w:t>
      </w:r>
      <w:r w:rsidRPr="005E2F84">
        <w:rPr>
          <w:rFonts w:asciiTheme="minorHAnsi" w:hAnsiTheme="minorHAnsi"/>
          <w:i/>
          <w:iCs/>
          <w:color w:val="385623" w:themeColor="accent6" w:themeShade="80"/>
          <w:sz w:val="20"/>
          <w:szCs w:val="22"/>
        </w:rPr>
        <w:t>)</w:t>
      </w:r>
    </w:p>
    <w:p w14:paraId="699DEB53" w14:textId="444F34C6" w:rsidR="00BF2BD1" w:rsidRPr="00B07D79" w:rsidRDefault="00BF2BD1" w:rsidP="00B07D79">
      <w:pPr>
        <w:spacing w:line="276" w:lineRule="auto"/>
        <w:jc w:val="both"/>
        <w:rPr>
          <w:rFonts w:asciiTheme="minorHAnsi" w:hAnsiTheme="minorHAnsi"/>
        </w:rPr>
      </w:pPr>
      <w:r w:rsidRPr="00B07D79">
        <w:rPr>
          <w:rFonts w:asciiTheme="minorHAnsi" w:hAnsiTheme="minorHAnsi"/>
        </w:rPr>
        <w:t>Křivky vývoje počtu elektrobusů ilustrují strmost přechodu k</w:t>
      </w:r>
      <w:r w:rsidR="00CF2351" w:rsidRPr="00B07D79">
        <w:rPr>
          <w:rFonts w:asciiTheme="minorHAnsi" w:hAnsiTheme="minorHAnsi"/>
        </w:rPr>
        <w:t> </w:t>
      </w:r>
      <w:r w:rsidRPr="00B07D79">
        <w:rPr>
          <w:rFonts w:asciiTheme="minorHAnsi" w:hAnsiTheme="minorHAnsi"/>
        </w:rPr>
        <w:t>elektromobilitě v</w:t>
      </w:r>
      <w:r w:rsidR="00CF2351" w:rsidRPr="00B07D79">
        <w:rPr>
          <w:rFonts w:asciiTheme="minorHAnsi" w:hAnsiTheme="minorHAnsi"/>
        </w:rPr>
        <w:t> </w:t>
      </w:r>
      <w:r w:rsidRPr="00B07D79">
        <w:rPr>
          <w:rFonts w:asciiTheme="minorHAnsi" w:hAnsiTheme="minorHAnsi"/>
        </w:rPr>
        <w:t>segmentu autobusů MHD dle jednotlivých scénářů rozvoje elektromobility. Střední scénář v</w:t>
      </w:r>
      <w:r w:rsidR="00CF2351" w:rsidRPr="00B07D79">
        <w:rPr>
          <w:rFonts w:asciiTheme="minorHAnsi" w:hAnsiTheme="minorHAnsi"/>
        </w:rPr>
        <w:t> </w:t>
      </w:r>
      <w:r w:rsidRPr="00B07D79">
        <w:rPr>
          <w:rFonts w:asciiTheme="minorHAnsi" w:hAnsiTheme="minorHAnsi"/>
        </w:rPr>
        <w:t>podstatě kopíruje vysoký scénář s</w:t>
      </w:r>
      <w:r w:rsidR="00CF2351" w:rsidRPr="00B07D79">
        <w:rPr>
          <w:rFonts w:asciiTheme="minorHAnsi" w:hAnsiTheme="minorHAnsi"/>
        </w:rPr>
        <w:t> </w:t>
      </w:r>
      <w:r w:rsidRPr="00B07D79">
        <w:rPr>
          <w:rFonts w:asciiTheme="minorHAnsi" w:hAnsiTheme="minorHAnsi"/>
        </w:rPr>
        <w:t>5letým zpožděním. Vysoký scénář dosahuje nejvyšší rychlosti obměny vozového parku okolo roku 2030. Pro tento rok se v</w:t>
      </w:r>
      <w:r w:rsidR="00CF2351" w:rsidRPr="00B07D79">
        <w:rPr>
          <w:rFonts w:asciiTheme="minorHAnsi" w:hAnsiTheme="minorHAnsi"/>
        </w:rPr>
        <w:t> </w:t>
      </w:r>
      <w:r w:rsidRPr="00B07D79">
        <w:rPr>
          <w:rFonts w:asciiTheme="minorHAnsi" w:hAnsiTheme="minorHAnsi"/>
        </w:rPr>
        <w:t>tomto scénáři uvažuje dosažení maximálního podílu elektrobusů na nových registracích a</w:t>
      </w:r>
      <w:r w:rsidR="00CF2351" w:rsidRPr="00B07D79">
        <w:rPr>
          <w:rFonts w:asciiTheme="minorHAnsi" w:hAnsiTheme="minorHAnsi"/>
        </w:rPr>
        <w:t> </w:t>
      </w:r>
      <w:r w:rsidRPr="00B07D79">
        <w:rPr>
          <w:rFonts w:asciiTheme="minorHAnsi" w:hAnsiTheme="minorHAnsi"/>
        </w:rPr>
        <w:t>současně se ještě výrazně neprojevuje dožívání starších EV. Poté se na křivce vysokého scénáře začíná projevovat určité zpomalení vycházející právě z</w:t>
      </w:r>
      <w:r w:rsidR="00CF2351" w:rsidRPr="00B07D79">
        <w:rPr>
          <w:rFonts w:asciiTheme="minorHAnsi" w:hAnsiTheme="minorHAnsi"/>
        </w:rPr>
        <w:t> </w:t>
      </w:r>
      <w:r w:rsidRPr="00B07D79">
        <w:rPr>
          <w:rFonts w:asciiTheme="minorHAnsi" w:hAnsiTheme="minorHAnsi"/>
        </w:rPr>
        <w:t>dožívání starších modelů e-busů. Celkového elektrifikace vozového parku je dosaženo ve vysokém i</w:t>
      </w:r>
      <w:r w:rsidR="00CF2351" w:rsidRPr="00B07D79">
        <w:rPr>
          <w:rFonts w:asciiTheme="minorHAnsi" w:hAnsiTheme="minorHAnsi"/>
        </w:rPr>
        <w:t> </w:t>
      </w:r>
      <w:r w:rsidRPr="00B07D79">
        <w:rPr>
          <w:rFonts w:asciiTheme="minorHAnsi" w:hAnsiTheme="minorHAnsi"/>
        </w:rPr>
        <w:t>ve středním scénáři (10 % vozového parku je</w:t>
      </w:r>
      <w:r w:rsidR="008126E4" w:rsidRPr="00B07D79">
        <w:rPr>
          <w:rFonts w:asciiTheme="minorHAnsi" w:hAnsiTheme="minorHAnsi"/>
        </w:rPr>
        <w:t> </w:t>
      </w:r>
      <w:r w:rsidRPr="00B07D79">
        <w:rPr>
          <w:rFonts w:asciiTheme="minorHAnsi" w:hAnsiTheme="minorHAnsi"/>
        </w:rPr>
        <w:t>alokováno pro vodíkové autobusy).</w:t>
      </w:r>
    </w:p>
    <w:p w14:paraId="6A59BB1F" w14:textId="646138AD" w:rsidR="00BF2BD1" w:rsidRPr="005E2F84" w:rsidRDefault="009A7DE7" w:rsidP="00B07D79">
      <w:pPr>
        <w:spacing w:line="276" w:lineRule="auto"/>
        <w:jc w:val="both"/>
        <w:rPr>
          <w:rFonts w:asciiTheme="minorHAnsi" w:hAnsiTheme="minorHAnsi"/>
          <w:color w:val="385623" w:themeColor="accent6" w:themeShade="80"/>
        </w:rPr>
      </w:pPr>
      <w:r w:rsidRPr="005E2F84">
        <w:rPr>
          <w:rFonts w:asciiTheme="minorHAnsi" w:hAnsiTheme="minorHAnsi"/>
          <w:color w:val="385623" w:themeColor="accent6" w:themeShade="80"/>
        </w:rPr>
        <w:t>Nákladní elektrická vozidla</w:t>
      </w:r>
    </w:p>
    <w:p w14:paraId="2A0F791C" w14:textId="327E0A43" w:rsidR="00D7450D" w:rsidRPr="00B07D79" w:rsidRDefault="009C5D20" w:rsidP="00B07D79">
      <w:pPr>
        <w:spacing w:line="276" w:lineRule="auto"/>
        <w:jc w:val="both"/>
        <w:rPr>
          <w:rFonts w:asciiTheme="minorHAnsi" w:hAnsiTheme="minorHAnsi"/>
        </w:rPr>
      </w:pPr>
      <w:r w:rsidRPr="00B07D79">
        <w:rPr>
          <w:rFonts w:asciiTheme="minorHAnsi" w:hAnsiTheme="minorHAnsi"/>
        </w:rPr>
        <w:t xml:space="preserve">Tématika rozvoje těžké nákladní dopravy (a příslušné </w:t>
      </w:r>
      <w:r w:rsidR="009819B7" w:rsidRPr="00B07D79">
        <w:rPr>
          <w:rFonts w:asciiTheme="minorHAnsi" w:hAnsiTheme="minorHAnsi"/>
        </w:rPr>
        <w:t xml:space="preserve">dobíjecí infrastruktury) </w:t>
      </w:r>
      <w:r w:rsidRPr="00B07D79">
        <w:rPr>
          <w:rFonts w:asciiTheme="minorHAnsi" w:hAnsiTheme="minorHAnsi"/>
        </w:rPr>
        <w:t>byla v</w:t>
      </w:r>
      <w:r w:rsidR="00CF2351" w:rsidRPr="00B07D79">
        <w:rPr>
          <w:rFonts w:asciiTheme="minorHAnsi" w:hAnsiTheme="minorHAnsi"/>
        </w:rPr>
        <w:t> </w:t>
      </w:r>
      <w:r w:rsidRPr="00B07D79">
        <w:rPr>
          <w:rFonts w:asciiTheme="minorHAnsi" w:hAnsiTheme="minorHAnsi"/>
        </w:rPr>
        <w:t>minulosti předmětem několika studií</w:t>
      </w:r>
      <w:r w:rsidR="00D34199" w:rsidRPr="00B07D79">
        <w:rPr>
          <w:rFonts w:asciiTheme="minorHAnsi" w:hAnsiTheme="minorHAnsi"/>
        </w:rPr>
        <w:t>.</w:t>
      </w:r>
      <w:r w:rsidR="009819B7" w:rsidRPr="00B07D79">
        <w:rPr>
          <w:rStyle w:val="Znakapoznpodarou"/>
          <w:rFonts w:asciiTheme="minorHAnsi" w:hAnsiTheme="minorHAnsi"/>
        </w:rPr>
        <w:footnoteReference w:id="25"/>
      </w:r>
      <w:r w:rsidRPr="00B07D79">
        <w:rPr>
          <w:rFonts w:asciiTheme="minorHAnsi" w:hAnsiTheme="minorHAnsi"/>
        </w:rPr>
        <w:t xml:space="preserve"> </w:t>
      </w:r>
      <w:r w:rsidR="009728DC" w:rsidRPr="00B07D79">
        <w:rPr>
          <w:rFonts w:asciiTheme="minorHAnsi" w:hAnsiTheme="minorHAnsi"/>
        </w:rPr>
        <w:t xml:space="preserve">Na základě </w:t>
      </w:r>
      <w:r w:rsidR="00D7450D" w:rsidRPr="00B07D79">
        <w:rPr>
          <w:rFonts w:asciiTheme="minorHAnsi" w:hAnsiTheme="minorHAnsi"/>
        </w:rPr>
        <w:t>toho lze konstatovat tyto závěry:</w:t>
      </w:r>
    </w:p>
    <w:p w14:paraId="69AD6B6B" w14:textId="2551E6F9" w:rsidR="003018FE" w:rsidRPr="00B07D79" w:rsidRDefault="0008550E" w:rsidP="00B07D79">
      <w:pPr>
        <w:pStyle w:val="Bullet1"/>
        <w:spacing w:line="276" w:lineRule="auto"/>
        <w:jc w:val="both"/>
        <w:rPr>
          <w:rFonts w:asciiTheme="minorHAnsi" w:hAnsiTheme="minorHAnsi"/>
        </w:rPr>
      </w:pPr>
      <w:r w:rsidRPr="00B07D79">
        <w:rPr>
          <w:rFonts w:asciiTheme="minorHAnsi" w:hAnsiTheme="minorHAnsi"/>
        </w:rPr>
        <w:t>provoz ICE dražší než BEV přibližně o</w:t>
      </w:r>
      <w:r w:rsidR="00CF2351" w:rsidRPr="00B07D79">
        <w:rPr>
          <w:rFonts w:asciiTheme="minorHAnsi" w:hAnsiTheme="minorHAnsi"/>
        </w:rPr>
        <w:t> </w:t>
      </w:r>
      <w:r w:rsidRPr="00B07D79">
        <w:rPr>
          <w:rFonts w:asciiTheme="minorHAnsi" w:hAnsiTheme="minorHAnsi"/>
        </w:rPr>
        <w:t>2,5 mil. Kč v</w:t>
      </w:r>
      <w:r w:rsidR="00CF2351" w:rsidRPr="00B07D79">
        <w:rPr>
          <w:rFonts w:asciiTheme="minorHAnsi" w:hAnsiTheme="minorHAnsi"/>
        </w:rPr>
        <w:t> </w:t>
      </w:r>
      <w:r w:rsidRPr="00B07D79">
        <w:rPr>
          <w:rFonts w:asciiTheme="minorHAnsi" w:hAnsiTheme="minorHAnsi"/>
        </w:rPr>
        <w:t>kategorii N2, resp. o</w:t>
      </w:r>
      <w:r w:rsidR="00CF2351" w:rsidRPr="00B07D79">
        <w:rPr>
          <w:rFonts w:asciiTheme="minorHAnsi" w:hAnsiTheme="minorHAnsi"/>
        </w:rPr>
        <w:t> </w:t>
      </w:r>
      <w:r w:rsidRPr="00B07D79">
        <w:rPr>
          <w:rFonts w:asciiTheme="minorHAnsi" w:hAnsiTheme="minorHAnsi"/>
        </w:rPr>
        <w:t>3,3 mil. Kč v</w:t>
      </w:r>
      <w:r w:rsidR="00CF2351" w:rsidRPr="00B07D79">
        <w:rPr>
          <w:rFonts w:asciiTheme="minorHAnsi" w:hAnsiTheme="minorHAnsi"/>
        </w:rPr>
        <w:t> </w:t>
      </w:r>
      <w:r w:rsidRPr="00B07D79">
        <w:rPr>
          <w:rFonts w:asciiTheme="minorHAnsi" w:hAnsiTheme="minorHAnsi"/>
        </w:rPr>
        <w:t>kategorii N3.</w:t>
      </w:r>
      <w:r w:rsidR="00D7450D" w:rsidRPr="00B07D79">
        <w:rPr>
          <w:rFonts w:asciiTheme="minorHAnsi" w:hAnsiTheme="minorHAnsi"/>
        </w:rPr>
        <w:t xml:space="preserve"> </w:t>
      </w:r>
    </w:p>
    <w:p w14:paraId="7F6350BD" w14:textId="358C1AD5" w:rsidR="00810DF2" w:rsidRPr="00B07D79" w:rsidRDefault="00810DF2" w:rsidP="00B07D79">
      <w:pPr>
        <w:spacing w:line="276" w:lineRule="auto"/>
        <w:jc w:val="both"/>
        <w:rPr>
          <w:rFonts w:asciiTheme="minorHAnsi" w:hAnsiTheme="minorHAnsi"/>
        </w:rPr>
      </w:pPr>
      <w:r w:rsidRPr="00B07D79">
        <w:rPr>
          <w:rFonts w:asciiTheme="minorHAnsi" w:hAnsiTheme="minorHAnsi"/>
        </w:rPr>
        <w:t>Scénáře rozvoje nákladní elektromobility jsou postavené na návrhu zpřísnění cílů snížení emisí CO</w:t>
      </w:r>
      <w:r w:rsidRPr="00B07D79">
        <w:rPr>
          <w:rFonts w:asciiTheme="minorHAnsi" w:hAnsiTheme="minorHAnsi"/>
          <w:vertAlign w:val="subscript"/>
        </w:rPr>
        <w:t>2</w:t>
      </w:r>
      <w:r w:rsidRPr="00B07D79">
        <w:rPr>
          <w:rFonts w:asciiTheme="minorHAnsi" w:hAnsiTheme="minorHAnsi"/>
        </w:rPr>
        <w:t xml:space="preserve"> z</w:t>
      </w:r>
      <w:r w:rsidR="00CF2351" w:rsidRPr="00B07D79">
        <w:rPr>
          <w:rFonts w:asciiTheme="minorHAnsi" w:hAnsiTheme="minorHAnsi"/>
        </w:rPr>
        <w:t> </w:t>
      </w:r>
      <w:r w:rsidRPr="00B07D79">
        <w:rPr>
          <w:rFonts w:asciiTheme="minorHAnsi" w:hAnsiTheme="minorHAnsi"/>
        </w:rPr>
        <w:t>prodejů nákladních vozidel (Nařízení EU o</w:t>
      </w:r>
      <w:r w:rsidR="00CF2351" w:rsidRPr="00B07D79">
        <w:rPr>
          <w:rFonts w:asciiTheme="minorHAnsi" w:hAnsiTheme="minorHAnsi"/>
        </w:rPr>
        <w:t> </w:t>
      </w:r>
      <w:r w:rsidRPr="00B07D79">
        <w:rPr>
          <w:rFonts w:asciiTheme="minorHAnsi" w:hAnsiTheme="minorHAnsi"/>
        </w:rPr>
        <w:t>emisích CO</w:t>
      </w:r>
      <w:r w:rsidRPr="00B07D79">
        <w:rPr>
          <w:rFonts w:asciiTheme="minorHAnsi" w:hAnsiTheme="minorHAnsi"/>
          <w:vertAlign w:val="subscript"/>
        </w:rPr>
        <w:t>2</w:t>
      </w:r>
      <w:r w:rsidRPr="00B07D79">
        <w:rPr>
          <w:rFonts w:asciiTheme="minorHAnsi" w:hAnsiTheme="minorHAnsi"/>
        </w:rPr>
        <w:t xml:space="preserve"> 2019/1242). Toto nařízení udává pokles emisí ve srovnání s</w:t>
      </w:r>
      <w:r w:rsidR="00CF2351" w:rsidRPr="00B07D79">
        <w:rPr>
          <w:rFonts w:asciiTheme="minorHAnsi" w:hAnsiTheme="minorHAnsi"/>
        </w:rPr>
        <w:t> </w:t>
      </w:r>
      <w:r w:rsidRPr="00B07D79">
        <w:rPr>
          <w:rFonts w:asciiTheme="minorHAnsi" w:hAnsiTheme="minorHAnsi"/>
        </w:rPr>
        <w:t>výchozím rokem 2019. Od roku 2025 navrhuje 15% pokles emisí z</w:t>
      </w:r>
      <w:r w:rsidR="00CF2351" w:rsidRPr="00B07D79">
        <w:rPr>
          <w:rFonts w:asciiTheme="minorHAnsi" w:hAnsiTheme="minorHAnsi"/>
        </w:rPr>
        <w:t> </w:t>
      </w:r>
      <w:r w:rsidRPr="00B07D79">
        <w:rPr>
          <w:rFonts w:asciiTheme="minorHAnsi" w:hAnsiTheme="minorHAnsi"/>
        </w:rPr>
        <w:t>nově prodaných vozidel, od roku 2030 45% pokles, v</w:t>
      </w:r>
      <w:r w:rsidR="00CF2351" w:rsidRPr="00B07D79">
        <w:rPr>
          <w:rFonts w:asciiTheme="minorHAnsi" w:hAnsiTheme="minorHAnsi"/>
        </w:rPr>
        <w:t> </w:t>
      </w:r>
      <w:r w:rsidRPr="00B07D79">
        <w:rPr>
          <w:rFonts w:asciiTheme="minorHAnsi" w:hAnsiTheme="minorHAnsi"/>
        </w:rPr>
        <w:t>roce 2035 65 % a</w:t>
      </w:r>
      <w:r w:rsidR="00CF2351" w:rsidRPr="00B07D79">
        <w:rPr>
          <w:rFonts w:asciiTheme="minorHAnsi" w:hAnsiTheme="minorHAnsi"/>
        </w:rPr>
        <w:t> </w:t>
      </w:r>
      <w:r w:rsidRPr="00B07D79">
        <w:rPr>
          <w:rFonts w:asciiTheme="minorHAnsi" w:hAnsiTheme="minorHAnsi"/>
        </w:rPr>
        <w:t>v roce 2040 90% pokles.</w:t>
      </w:r>
    </w:p>
    <w:p w14:paraId="201D5C7F" w14:textId="7D6D8C2C" w:rsidR="00810DF2" w:rsidRPr="00B07D79" w:rsidRDefault="00810DF2" w:rsidP="00B07D79">
      <w:pPr>
        <w:spacing w:line="276" w:lineRule="auto"/>
        <w:jc w:val="both"/>
        <w:rPr>
          <w:rFonts w:asciiTheme="minorHAnsi" w:hAnsiTheme="minorHAnsi"/>
        </w:rPr>
      </w:pPr>
      <w:r w:rsidRPr="00B07D79">
        <w:rPr>
          <w:rFonts w:asciiTheme="minorHAnsi" w:hAnsiTheme="minorHAnsi"/>
        </w:rPr>
        <w:t>Vysoký scénář přepokládá plnění tohoto požadavku (pouze pomocí podílu čistě bateriových vozidel na nových registracích) právě v</w:t>
      </w:r>
      <w:r w:rsidR="00CF2351" w:rsidRPr="00B07D79">
        <w:rPr>
          <w:rFonts w:asciiTheme="minorHAnsi" w:hAnsiTheme="minorHAnsi"/>
        </w:rPr>
        <w:t> </w:t>
      </w:r>
      <w:r w:rsidRPr="00B07D79">
        <w:rPr>
          <w:rFonts w:asciiTheme="minorHAnsi" w:hAnsiTheme="minorHAnsi"/>
        </w:rPr>
        <w:t>daných časových řezech.</w:t>
      </w:r>
    </w:p>
    <w:p w14:paraId="2172351A" w14:textId="26864531" w:rsidR="00810DF2" w:rsidRPr="00B07D79" w:rsidRDefault="00810DF2" w:rsidP="00B07D79">
      <w:pPr>
        <w:spacing w:line="276" w:lineRule="auto"/>
        <w:jc w:val="both"/>
        <w:rPr>
          <w:rFonts w:asciiTheme="minorHAnsi" w:hAnsiTheme="minorHAnsi"/>
        </w:rPr>
      </w:pPr>
      <w:r w:rsidRPr="00B07D79">
        <w:rPr>
          <w:rFonts w:asciiTheme="minorHAnsi" w:hAnsiTheme="minorHAnsi"/>
        </w:rPr>
        <w:t>Střední scénář očekává 3leté zpožděné promítnutí těchto požadavků na vozový park v</w:t>
      </w:r>
      <w:r w:rsidR="00CF2351" w:rsidRPr="00B07D79">
        <w:rPr>
          <w:rFonts w:asciiTheme="minorHAnsi" w:hAnsiTheme="minorHAnsi"/>
        </w:rPr>
        <w:t> </w:t>
      </w:r>
      <w:r w:rsidRPr="00B07D79">
        <w:rPr>
          <w:rFonts w:asciiTheme="minorHAnsi" w:hAnsiTheme="minorHAnsi"/>
        </w:rPr>
        <w:t>ČR.</w:t>
      </w:r>
    </w:p>
    <w:p w14:paraId="4571C9A1" w14:textId="54F4871D" w:rsidR="00BF2BD1" w:rsidRPr="00B07D79" w:rsidRDefault="00810DF2" w:rsidP="00B07D79">
      <w:pPr>
        <w:spacing w:line="276" w:lineRule="auto"/>
        <w:jc w:val="both"/>
        <w:rPr>
          <w:rFonts w:asciiTheme="minorHAnsi" w:hAnsiTheme="minorHAnsi"/>
        </w:rPr>
      </w:pPr>
      <w:r w:rsidRPr="00B07D79">
        <w:rPr>
          <w:rFonts w:asciiTheme="minorHAnsi" w:hAnsiTheme="minorHAnsi"/>
        </w:rPr>
        <w:t>Nízký scénář pak uvažuje 6leté zpoždění.</w:t>
      </w:r>
    </w:p>
    <w:p w14:paraId="63E2A7D9" w14:textId="46E89B42" w:rsidR="00854888" w:rsidRPr="005E2F84" w:rsidRDefault="00810DF2"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lastRenderedPageBreak/>
        <w:t xml:space="preserve">Tabulka </w:t>
      </w:r>
      <w:r w:rsidR="0093250F" w:rsidRPr="005E2F84">
        <w:rPr>
          <w:rFonts w:asciiTheme="minorHAnsi" w:hAnsiTheme="minorHAnsi"/>
          <w:b w:val="0"/>
          <w:bCs w:val="0"/>
          <w:color w:val="385623" w:themeColor="accent6" w:themeShade="80"/>
        </w:rPr>
        <w:fldChar w:fldCharType="begin"/>
      </w:r>
      <w:r w:rsidR="0093250F" w:rsidRPr="005E2F84">
        <w:rPr>
          <w:rFonts w:asciiTheme="minorHAnsi" w:hAnsiTheme="minorHAnsi"/>
          <w:b w:val="0"/>
          <w:bCs w:val="0"/>
          <w:color w:val="385623" w:themeColor="accent6" w:themeShade="80"/>
        </w:rPr>
        <w:instrText xml:space="preserve"> SEQ Tabulka \* ARABIC </w:instrText>
      </w:r>
      <w:r w:rsidR="0093250F"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color w:val="385623" w:themeColor="accent6" w:themeShade="80"/>
        </w:rPr>
        <w:t>9</w:t>
      </w:r>
      <w:r w:rsidR="0093250F" w:rsidRPr="005E2F84">
        <w:rPr>
          <w:rFonts w:asciiTheme="minorHAnsi" w:hAnsiTheme="minorHAnsi"/>
          <w:b w:val="0"/>
          <w:bCs w:val="0"/>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Vývoj celkového počtu elektrických nákladních vozidel dle scénářů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tbl>
      <w:tblPr>
        <w:tblW w:w="90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2973"/>
        <w:gridCol w:w="892"/>
        <w:gridCol w:w="1039"/>
        <w:gridCol w:w="970"/>
        <w:gridCol w:w="1042"/>
        <w:gridCol w:w="1115"/>
        <w:gridCol w:w="1031"/>
      </w:tblGrid>
      <w:tr w:rsidR="00854888" w:rsidRPr="00B07D79" w14:paraId="19FC30A5" w14:textId="77777777" w:rsidTr="005E2F84">
        <w:trPr>
          <w:trHeight w:val="510"/>
        </w:trPr>
        <w:tc>
          <w:tcPr>
            <w:tcW w:w="2973" w:type="dxa"/>
            <w:shd w:val="clear" w:color="auto" w:fill="70AD47" w:themeFill="accent6"/>
            <w:noWrap/>
            <w:vAlign w:val="center"/>
            <w:hideMark/>
          </w:tcPr>
          <w:p w14:paraId="013850AF" w14:textId="2C0932DD" w:rsidR="00854888" w:rsidRPr="005E2F84" w:rsidRDefault="00854888" w:rsidP="00B07D79">
            <w:pPr>
              <w:spacing w:line="276" w:lineRule="auto"/>
              <w:jc w:val="both"/>
              <w:rPr>
                <w:rFonts w:asciiTheme="minorHAnsi" w:hAnsiTheme="minorHAnsi"/>
              </w:rPr>
            </w:pPr>
            <w:r w:rsidRPr="005E2F84">
              <w:rPr>
                <w:rFonts w:asciiTheme="minorHAnsi" w:hAnsiTheme="minorHAnsi"/>
              </w:rPr>
              <w:t>Scénář/rok</w:t>
            </w:r>
          </w:p>
        </w:tc>
        <w:tc>
          <w:tcPr>
            <w:tcW w:w="892" w:type="dxa"/>
            <w:shd w:val="clear" w:color="auto" w:fill="70AD47" w:themeFill="accent6"/>
            <w:vAlign w:val="center"/>
          </w:tcPr>
          <w:p w14:paraId="3B15C4C1" w14:textId="36678AD1" w:rsidR="00854888" w:rsidRPr="005E2F84" w:rsidRDefault="00854888" w:rsidP="00B07D79">
            <w:pPr>
              <w:spacing w:line="276" w:lineRule="auto"/>
              <w:jc w:val="both"/>
              <w:rPr>
                <w:rFonts w:asciiTheme="minorHAnsi" w:hAnsiTheme="minorHAnsi"/>
              </w:rPr>
            </w:pPr>
            <w:r w:rsidRPr="005E2F84">
              <w:rPr>
                <w:rFonts w:asciiTheme="minorHAnsi" w:hAnsiTheme="minorHAnsi"/>
              </w:rPr>
              <w:t>2023</w:t>
            </w:r>
          </w:p>
        </w:tc>
        <w:tc>
          <w:tcPr>
            <w:tcW w:w="1039" w:type="dxa"/>
            <w:shd w:val="clear" w:color="auto" w:fill="70AD47" w:themeFill="accent6"/>
            <w:vAlign w:val="center"/>
          </w:tcPr>
          <w:p w14:paraId="687BF2C8" w14:textId="09952E16" w:rsidR="00854888" w:rsidRPr="005E2F84" w:rsidRDefault="00854888" w:rsidP="00B07D79">
            <w:pPr>
              <w:spacing w:line="276" w:lineRule="auto"/>
              <w:jc w:val="both"/>
              <w:rPr>
                <w:rFonts w:asciiTheme="minorHAnsi" w:hAnsiTheme="minorHAnsi"/>
              </w:rPr>
            </w:pPr>
            <w:r w:rsidRPr="005E2F84">
              <w:rPr>
                <w:rFonts w:asciiTheme="minorHAnsi" w:hAnsiTheme="minorHAnsi"/>
              </w:rPr>
              <w:t>2025</w:t>
            </w:r>
          </w:p>
        </w:tc>
        <w:tc>
          <w:tcPr>
            <w:tcW w:w="970" w:type="dxa"/>
            <w:shd w:val="clear" w:color="auto" w:fill="70AD47" w:themeFill="accent6"/>
            <w:vAlign w:val="center"/>
          </w:tcPr>
          <w:p w14:paraId="761DDF1C"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2030</w:t>
            </w:r>
          </w:p>
        </w:tc>
        <w:tc>
          <w:tcPr>
            <w:tcW w:w="1042" w:type="dxa"/>
            <w:shd w:val="clear" w:color="auto" w:fill="70AD47" w:themeFill="accent6"/>
            <w:vAlign w:val="center"/>
          </w:tcPr>
          <w:p w14:paraId="73053585"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2035</w:t>
            </w:r>
          </w:p>
        </w:tc>
        <w:tc>
          <w:tcPr>
            <w:tcW w:w="1115" w:type="dxa"/>
            <w:shd w:val="clear" w:color="auto" w:fill="70AD47" w:themeFill="accent6"/>
            <w:vAlign w:val="center"/>
          </w:tcPr>
          <w:p w14:paraId="29E3355D"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2040</w:t>
            </w:r>
          </w:p>
        </w:tc>
        <w:tc>
          <w:tcPr>
            <w:tcW w:w="1031" w:type="dxa"/>
            <w:shd w:val="clear" w:color="auto" w:fill="70AD47" w:themeFill="accent6"/>
            <w:vAlign w:val="center"/>
          </w:tcPr>
          <w:p w14:paraId="0C8308FB"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2045</w:t>
            </w:r>
          </w:p>
        </w:tc>
      </w:tr>
      <w:tr w:rsidR="00854888" w:rsidRPr="00B07D79" w14:paraId="679DB270" w14:textId="77777777" w:rsidTr="005E2F84">
        <w:trPr>
          <w:trHeight w:val="442"/>
        </w:trPr>
        <w:tc>
          <w:tcPr>
            <w:tcW w:w="2973" w:type="dxa"/>
            <w:shd w:val="clear" w:color="auto" w:fill="A8D08D" w:themeFill="accent6" w:themeFillTint="99"/>
            <w:vAlign w:val="center"/>
          </w:tcPr>
          <w:p w14:paraId="7AE2EAE7" w14:textId="29604462" w:rsidR="00854888" w:rsidRPr="00B07D79" w:rsidRDefault="00854888" w:rsidP="00B07D79">
            <w:pPr>
              <w:spacing w:line="276" w:lineRule="auto"/>
              <w:jc w:val="both"/>
              <w:rPr>
                <w:rFonts w:asciiTheme="minorHAnsi" w:hAnsiTheme="minorHAnsi"/>
              </w:rPr>
            </w:pPr>
            <w:r w:rsidRPr="00B07D79">
              <w:rPr>
                <w:rFonts w:asciiTheme="minorHAnsi" w:hAnsiTheme="minorHAnsi"/>
              </w:rPr>
              <w:t>Nízký</w:t>
            </w:r>
          </w:p>
        </w:tc>
        <w:tc>
          <w:tcPr>
            <w:tcW w:w="892" w:type="dxa"/>
            <w:shd w:val="clear" w:color="auto" w:fill="A8D08D" w:themeFill="accent6" w:themeFillTint="99"/>
            <w:vAlign w:val="center"/>
          </w:tcPr>
          <w:p w14:paraId="5D7E01C9" w14:textId="5B3EC5DD" w:rsidR="00854888" w:rsidRPr="00B07D79" w:rsidRDefault="00854888" w:rsidP="00B07D79">
            <w:pPr>
              <w:spacing w:line="276" w:lineRule="auto"/>
              <w:jc w:val="both"/>
              <w:rPr>
                <w:rFonts w:asciiTheme="minorHAnsi" w:hAnsiTheme="minorHAnsi"/>
              </w:rPr>
            </w:pPr>
            <w:r w:rsidRPr="00B07D79">
              <w:rPr>
                <w:rFonts w:asciiTheme="minorHAnsi" w:hAnsiTheme="minorHAnsi"/>
              </w:rPr>
              <w:t>23</w:t>
            </w:r>
          </w:p>
        </w:tc>
        <w:tc>
          <w:tcPr>
            <w:tcW w:w="1039" w:type="dxa"/>
            <w:shd w:val="clear" w:color="auto" w:fill="A8D08D" w:themeFill="accent6" w:themeFillTint="99"/>
            <w:vAlign w:val="center"/>
          </w:tcPr>
          <w:p w14:paraId="6E5A8C43" w14:textId="12398A53" w:rsidR="00854888" w:rsidRPr="00B07D79" w:rsidRDefault="00854888" w:rsidP="00B07D79">
            <w:pPr>
              <w:spacing w:line="276" w:lineRule="auto"/>
              <w:jc w:val="both"/>
              <w:rPr>
                <w:rFonts w:asciiTheme="minorHAnsi" w:hAnsiTheme="minorHAnsi"/>
              </w:rPr>
            </w:pPr>
            <w:r w:rsidRPr="00B07D79">
              <w:rPr>
                <w:rFonts w:asciiTheme="minorHAnsi" w:hAnsiTheme="minorHAnsi"/>
              </w:rPr>
              <w:t>23</w:t>
            </w:r>
          </w:p>
        </w:tc>
        <w:tc>
          <w:tcPr>
            <w:tcW w:w="970" w:type="dxa"/>
            <w:shd w:val="clear" w:color="auto" w:fill="A8D08D" w:themeFill="accent6" w:themeFillTint="99"/>
            <w:vAlign w:val="center"/>
          </w:tcPr>
          <w:p w14:paraId="22C3D95B" w14:textId="447C603A" w:rsidR="00854888" w:rsidRPr="00B07D79" w:rsidRDefault="00854888" w:rsidP="00B07D79">
            <w:pPr>
              <w:spacing w:line="276" w:lineRule="auto"/>
              <w:jc w:val="both"/>
              <w:rPr>
                <w:rFonts w:asciiTheme="minorHAnsi" w:hAnsiTheme="minorHAnsi"/>
              </w:rPr>
            </w:pPr>
            <w:r w:rsidRPr="00B07D79">
              <w:rPr>
                <w:rFonts w:asciiTheme="minorHAnsi" w:hAnsiTheme="minorHAnsi"/>
              </w:rPr>
              <w:t>688</w:t>
            </w:r>
          </w:p>
        </w:tc>
        <w:tc>
          <w:tcPr>
            <w:tcW w:w="1042" w:type="dxa"/>
            <w:shd w:val="clear" w:color="auto" w:fill="A8D08D" w:themeFill="accent6" w:themeFillTint="99"/>
            <w:vAlign w:val="center"/>
          </w:tcPr>
          <w:p w14:paraId="4E764B01" w14:textId="57779622" w:rsidR="00854888" w:rsidRPr="00B07D79" w:rsidRDefault="00854888" w:rsidP="00B07D79">
            <w:pPr>
              <w:spacing w:line="276" w:lineRule="auto"/>
              <w:jc w:val="both"/>
              <w:rPr>
                <w:rFonts w:asciiTheme="minorHAnsi" w:hAnsiTheme="minorHAnsi"/>
              </w:rPr>
            </w:pPr>
            <w:r w:rsidRPr="00B07D79">
              <w:rPr>
                <w:rFonts w:asciiTheme="minorHAnsi" w:hAnsiTheme="minorHAnsi"/>
              </w:rPr>
              <w:t>15 530</w:t>
            </w:r>
          </w:p>
        </w:tc>
        <w:tc>
          <w:tcPr>
            <w:tcW w:w="1115" w:type="dxa"/>
            <w:shd w:val="clear" w:color="auto" w:fill="A8D08D" w:themeFill="accent6" w:themeFillTint="99"/>
            <w:vAlign w:val="center"/>
          </w:tcPr>
          <w:p w14:paraId="2B284220" w14:textId="22C69AF3" w:rsidR="00854888" w:rsidRPr="00B07D79" w:rsidRDefault="00854888" w:rsidP="00B07D79">
            <w:pPr>
              <w:spacing w:line="276" w:lineRule="auto"/>
              <w:jc w:val="both"/>
              <w:rPr>
                <w:rFonts w:asciiTheme="minorHAnsi" w:hAnsiTheme="minorHAnsi"/>
              </w:rPr>
            </w:pPr>
            <w:r w:rsidRPr="00B07D79">
              <w:rPr>
                <w:rFonts w:asciiTheme="minorHAnsi" w:hAnsiTheme="minorHAnsi"/>
              </w:rPr>
              <w:t>42 370</w:t>
            </w:r>
          </w:p>
        </w:tc>
        <w:tc>
          <w:tcPr>
            <w:tcW w:w="1031" w:type="dxa"/>
            <w:shd w:val="clear" w:color="auto" w:fill="A8D08D" w:themeFill="accent6" w:themeFillTint="99"/>
            <w:vAlign w:val="center"/>
          </w:tcPr>
          <w:p w14:paraId="427D9A85" w14:textId="071C7907" w:rsidR="00854888" w:rsidRPr="00B07D79" w:rsidRDefault="00854888" w:rsidP="00B07D79">
            <w:pPr>
              <w:spacing w:line="276" w:lineRule="auto"/>
              <w:jc w:val="both"/>
              <w:rPr>
                <w:rFonts w:asciiTheme="minorHAnsi" w:hAnsiTheme="minorHAnsi"/>
              </w:rPr>
            </w:pPr>
            <w:r w:rsidRPr="00B07D79">
              <w:rPr>
                <w:rFonts w:asciiTheme="minorHAnsi" w:hAnsiTheme="minorHAnsi"/>
              </w:rPr>
              <w:t>65470</w:t>
            </w:r>
          </w:p>
        </w:tc>
      </w:tr>
      <w:tr w:rsidR="00854888" w:rsidRPr="00B07D79" w14:paraId="525087CF" w14:textId="77777777" w:rsidTr="005E2F84">
        <w:trPr>
          <w:trHeight w:val="442"/>
        </w:trPr>
        <w:tc>
          <w:tcPr>
            <w:tcW w:w="2973" w:type="dxa"/>
            <w:shd w:val="clear" w:color="auto" w:fill="A8D08D" w:themeFill="accent6" w:themeFillTint="99"/>
            <w:vAlign w:val="center"/>
          </w:tcPr>
          <w:p w14:paraId="27D34F87" w14:textId="4C2A9500" w:rsidR="00854888" w:rsidRPr="00B07D79" w:rsidRDefault="00854888" w:rsidP="00B07D79">
            <w:pPr>
              <w:spacing w:line="276" w:lineRule="auto"/>
              <w:jc w:val="both"/>
              <w:rPr>
                <w:rFonts w:asciiTheme="minorHAnsi" w:hAnsiTheme="minorHAnsi"/>
              </w:rPr>
            </w:pPr>
            <w:r w:rsidRPr="00B07D79">
              <w:rPr>
                <w:rFonts w:asciiTheme="minorHAnsi" w:hAnsiTheme="minorHAnsi"/>
              </w:rPr>
              <w:t>Střední</w:t>
            </w:r>
          </w:p>
        </w:tc>
        <w:tc>
          <w:tcPr>
            <w:tcW w:w="892" w:type="dxa"/>
            <w:shd w:val="clear" w:color="auto" w:fill="A8D08D" w:themeFill="accent6" w:themeFillTint="99"/>
            <w:vAlign w:val="center"/>
          </w:tcPr>
          <w:p w14:paraId="0C3C5CF2" w14:textId="5C1F6845" w:rsidR="00854888" w:rsidRPr="00B07D79" w:rsidRDefault="00854888" w:rsidP="00B07D79">
            <w:pPr>
              <w:spacing w:line="276" w:lineRule="auto"/>
              <w:jc w:val="both"/>
              <w:rPr>
                <w:rFonts w:asciiTheme="minorHAnsi" w:hAnsiTheme="minorHAnsi"/>
              </w:rPr>
            </w:pPr>
            <w:r w:rsidRPr="00B07D79">
              <w:rPr>
                <w:rFonts w:asciiTheme="minorHAnsi" w:hAnsiTheme="minorHAnsi"/>
              </w:rPr>
              <w:t>23</w:t>
            </w:r>
          </w:p>
        </w:tc>
        <w:tc>
          <w:tcPr>
            <w:tcW w:w="1039" w:type="dxa"/>
            <w:shd w:val="clear" w:color="auto" w:fill="A8D08D" w:themeFill="accent6" w:themeFillTint="99"/>
            <w:vAlign w:val="center"/>
          </w:tcPr>
          <w:p w14:paraId="709EA38A" w14:textId="030F6CB8" w:rsidR="00854888" w:rsidRPr="00B07D79" w:rsidRDefault="00854888" w:rsidP="00B07D79">
            <w:pPr>
              <w:spacing w:line="276" w:lineRule="auto"/>
              <w:jc w:val="both"/>
              <w:rPr>
                <w:rFonts w:asciiTheme="minorHAnsi" w:hAnsiTheme="minorHAnsi"/>
              </w:rPr>
            </w:pPr>
            <w:r w:rsidRPr="00B07D79">
              <w:rPr>
                <w:rFonts w:asciiTheme="minorHAnsi" w:hAnsiTheme="minorHAnsi"/>
              </w:rPr>
              <w:t>35</w:t>
            </w:r>
          </w:p>
        </w:tc>
        <w:tc>
          <w:tcPr>
            <w:tcW w:w="970" w:type="dxa"/>
            <w:shd w:val="clear" w:color="auto" w:fill="A8D08D" w:themeFill="accent6" w:themeFillTint="99"/>
            <w:vAlign w:val="center"/>
          </w:tcPr>
          <w:p w14:paraId="10F4D980" w14:textId="7867CA6F" w:rsidR="00854888" w:rsidRPr="00B07D79" w:rsidRDefault="00854888" w:rsidP="00B07D79">
            <w:pPr>
              <w:spacing w:line="276" w:lineRule="auto"/>
              <w:jc w:val="both"/>
              <w:rPr>
                <w:rFonts w:asciiTheme="minorHAnsi" w:hAnsiTheme="minorHAnsi"/>
              </w:rPr>
            </w:pPr>
            <w:r w:rsidRPr="00B07D79">
              <w:rPr>
                <w:rFonts w:asciiTheme="minorHAnsi" w:hAnsiTheme="minorHAnsi"/>
              </w:rPr>
              <w:t>7 115</w:t>
            </w:r>
          </w:p>
        </w:tc>
        <w:tc>
          <w:tcPr>
            <w:tcW w:w="1042" w:type="dxa"/>
            <w:shd w:val="clear" w:color="auto" w:fill="A8D08D" w:themeFill="accent6" w:themeFillTint="99"/>
            <w:vAlign w:val="center"/>
          </w:tcPr>
          <w:p w14:paraId="1C48BA6D" w14:textId="6A43E48D" w:rsidR="00854888" w:rsidRPr="00B07D79" w:rsidRDefault="00854888" w:rsidP="00B07D79">
            <w:pPr>
              <w:spacing w:line="276" w:lineRule="auto"/>
              <w:jc w:val="both"/>
              <w:rPr>
                <w:rFonts w:asciiTheme="minorHAnsi" w:hAnsiTheme="minorHAnsi"/>
              </w:rPr>
            </w:pPr>
            <w:r w:rsidRPr="00B07D79">
              <w:rPr>
                <w:rFonts w:asciiTheme="minorHAnsi" w:hAnsiTheme="minorHAnsi"/>
              </w:rPr>
              <w:t>31 140</w:t>
            </w:r>
          </w:p>
        </w:tc>
        <w:tc>
          <w:tcPr>
            <w:tcW w:w="1115" w:type="dxa"/>
            <w:shd w:val="clear" w:color="auto" w:fill="A8D08D" w:themeFill="accent6" w:themeFillTint="99"/>
            <w:vAlign w:val="center"/>
          </w:tcPr>
          <w:p w14:paraId="2D24A08B" w14:textId="0A6551B8" w:rsidR="00854888" w:rsidRPr="00B07D79" w:rsidRDefault="00854888" w:rsidP="00B07D79">
            <w:pPr>
              <w:spacing w:line="276" w:lineRule="auto"/>
              <w:jc w:val="both"/>
              <w:rPr>
                <w:rFonts w:asciiTheme="minorHAnsi" w:hAnsiTheme="minorHAnsi"/>
              </w:rPr>
            </w:pPr>
            <w:r w:rsidRPr="00B07D79">
              <w:rPr>
                <w:rFonts w:asciiTheme="minorHAnsi" w:hAnsiTheme="minorHAnsi"/>
              </w:rPr>
              <w:t>56 560</w:t>
            </w:r>
          </w:p>
        </w:tc>
        <w:tc>
          <w:tcPr>
            <w:tcW w:w="1031" w:type="dxa"/>
            <w:shd w:val="clear" w:color="auto" w:fill="A8D08D" w:themeFill="accent6" w:themeFillTint="99"/>
            <w:vAlign w:val="center"/>
          </w:tcPr>
          <w:p w14:paraId="712FD021" w14:textId="171BD328" w:rsidR="00854888" w:rsidRPr="00B07D79" w:rsidRDefault="00854888" w:rsidP="00B07D79">
            <w:pPr>
              <w:spacing w:line="276" w:lineRule="auto"/>
              <w:jc w:val="both"/>
              <w:rPr>
                <w:rFonts w:asciiTheme="minorHAnsi" w:hAnsiTheme="minorHAnsi"/>
              </w:rPr>
            </w:pPr>
            <w:r w:rsidRPr="00B07D79">
              <w:rPr>
                <w:rFonts w:asciiTheme="minorHAnsi" w:hAnsiTheme="minorHAnsi"/>
              </w:rPr>
              <w:t>77680</w:t>
            </w:r>
          </w:p>
        </w:tc>
      </w:tr>
      <w:tr w:rsidR="00854888" w:rsidRPr="00B07D79" w14:paraId="653AD2B4" w14:textId="77777777" w:rsidTr="005E2F84">
        <w:trPr>
          <w:trHeight w:val="442"/>
        </w:trPr>
        <w:tc>
          <w:tcPr>
            <w:tcW w:w="2973" w:type="dxa"/>
            <w:shd w:val="clear" w:color="auto" w:fill="A8D08D" w:themeFill="accent6" w:themeFillTint="99"/>
            <w:vAlign w:val="center"/>
          </w:tcPr>
          <w:p w14:paraId="7676F9EC" w14:textId="6DDC8B6F" w:rsidR="00854888" w:rsidRPr="00B07D79" w:rsidRDefault="00854888" w:rsidP="00B07D79">
            <w:pPr>
              <w:spacing w:line="276" w:lineRule="auto"/>
              <w:jc w:val="both"/>
              <w:rPr>
                <w:rFonts w:asciiTheme="minorHAnsi" w:hAnsiTheme="minorHAnsi"/>
              </w:rPr>
            </w:pPr>
            <w:r w:rsidRPr="00B07D79">
              <w:rPr>
                <w:rFonts w:asciiTheme="minorHAnsi" w:hAnsiTheme="minorHAnsi"/>
              </w:rPr>
              <w:t>Vysoký</w:t>
            </w:r>
          </w:p>
        </w:tc>
        <w:tc>
          <w:tcPr>
            <w:tcW w:w="892" w:type="dxa"/>
            <w:shd w:val="clear" w:color="auto" w:fill="A8D08D" w:themeFill="accent6" w:themeFillTint="99"/>
            <w:vAlign w:val="center"/>
          </w:tcPr>
          <w:p w14:paraId="1044607A" w14:textId="5F2C9FA8" w:rsidR="00854888" w:rsidRPr="00B07D79" w:rsidRDefault="00854888" w:rsidP="00B07D79">
            <w:pPr>
              <w:spacing w:line="276" w:lineRule="auto"/>
              <w:jc w:val="both"/>
              <w:rPr>
                <w:rFonts w:asciiTheme="minorHAnsi" w:hAnsiTheme="minorHAnsi"/>
              </w:rPr>
            </w:pPr>
            <w:r w:rsidRPr="00B07D79">
              <w:rPr>
                <w:rFonts w:asciiTheme="minorHAnsi" w:hAnsiTheme="minorHAnsi"/>
              </w:rPr>
              <w:t>23</w:t>
            </w:r>
          </w:p>
        </w:tc>
        <w:tc>
          <w:tcPr>
            <w:tcW w:w="1039" w:type="dxa"/>
            <w:shd w:val="clear" w:color="auto" w:fill="A8D08D" w:themeFill="accent6" w:themeFillTint="99"/>
            <w:vAlign w:val="center"/>
          </w:tcPr>
          <w:p w14:paraId="4D5EB7E3" w14:textId="151428C3" w:rsidR="00854888" w:rsidRPr="00B07D79" w:rsidRDefault="00854888" w:rsidP="00B07D79">
            <w:pPr>
              <w:spacing w:line="276" w:lineRule="auto"/>
              <w:jc w:val="both"/>
              <w:rPr>
                <w:rFonts w:asciiTheme="minorHAnsi" w:hAnsiTheme="minorHAnsi"/>
              </w:rPr>
            </w:pPr>
            <w:r w:rsidRPr="00B07D79">
              <w:rPr>
                <w:rFonts w:asciiTheme="minorHAnsi" w:hAnsiTheme="minorHAnsi"/>
              </w:rPr>
              <w:t>1 690</w:t>
            </w:r>
          </w:p>
        </w:tc>
        <w:tc>
          <w:tcPr>
            <w:tcW w:w="970" w:type="dxa"/>
            <w:shd w:val="clear" w:color="auto" w:fill="A8D08D" w:themeFill="accent6" w:themeFillTint="99"/>
            <w:vAlign w:val="center"/>
          </w:tcPr>
          <w:p w14:paraId="45C161B2" w14:textId="7B423256" w:rsidR="00854888" w:rsidRPr="00B07D79" w:rsidRDefault="00854888" w:rsidP="00B07D79">
            <w:pPr>
              <w:spacing w:line="276" w:lineRule="auto"/>
              <w:jc w:val="both"/>
              <w:rPr>
                <w:rFonts w:asciiTheme="minorHAnsi" w:hAnsiTheme="minorHAnsi"/>
              </w:rPr>
            </w:pPr>
            <w:r w:rsidRPr="00B07D79">
              <w:rPr>
                <w:rFonts w:asciiTheme="minorHAnsi" w:hAnsiTheme="minorHAnsi"/>
              </w:rPr>
              <w:t>19 840</w:t>
            </w:r>
          </w:p>
        </w:tc>
        <w:tc>
          <w:tcPr>
            <w:tcW w:w="1042" w:type="dxa"/>
            <w:shd w:val="clear" w:color="auto" w:fill="A8D08D" w:themeFill="accent6" w:themeFillTint="99"/>
            <w:vAlign w:val="center"/>
          </w:tcPr>
          <w:p w14:paraId="26CDC886" w14:textId="787B6237" w:rsidR="00854888" w:rsidRPr="00B07D79" w:rsidRDefault="00854888" w:rsidP="00B07D79">
            <w:pPr>
              <w:spacing w:line="276" w:lineRule="auto"/>
              <w:jc w:val="both"/>
              <w:rPr>
                <w:rFonts w:asciiTheme="minorHAnsi" w:hAnsiTheme="minorHAnsi"/>
              </w:rPr>
            </w:pPr>
            <w:r w:rsidRPr="00B07D79">
              <w:rPr>
                <w:rFonts w:asciiTheme="minorHAnsi" w:hAnsiTheme="minorHAnsi"/>
              </w:rPr>
              <w:t>47 210</w:t>
            </w:r>
          </w:p>
        </w:tc>
        <w:tc>
          <w:tcPr>
            <w:tcW w:w="1115" w:type="dxa"/>
            <w:shd w:val="clear" w:color="auto" w:fill="A8D08D" w:themeFill="accent6" w:themeFillTint="99"/>
            <w:vAlign w:val="center"/>
          </w:tcPr>
          <w:p w14:paraId="3F9294DF" w14:textId="0F4C4ECE" w:rsidR="00854888" w:rsidRPr="00B07D79" w:rsidRDefault="00854888" w:rsidP="00B07D79">
            <w:pPr>
              <w:spacing w:line="276" w:lineRule="auto"/>
              <w:jc w:val="both"/>
              <w:rPr>
                <w:rFonts w:asciiTheme="minorHAnsi" w:hAnsiTheme="minorHAnsi"/>
              </w:rPr>
            </w:pPr>
            <w:r w:rsidRPr="00B07D79">
              <w:rPr>
                <w:rFonts w:asciiTheme="minorHAnsi" w:hAnsiTheme="minorHAnsi"/>
              </w:rPr>
              <w:t>69 980</w:t>
            </w:r>
          </w:p>
        </w:tc>
        <w:tc>
          <w:tcPr>
            <w:tcW w:w="1031" w:type="dxa"/>
            <w:shd w:val="clear" w:color="auto" w:fill="A8D08D" w:themeFill="accent6" w:themeFillTint="99"/>
            <w:vAlign w:val="center"/>
          </w:tcPr>
          <w:p w14:paraId="756600D5" w14:textId="39D33DCA" w:rsidR="00854888" w:rsidRPr="00B07D79" w:rsidRDefault="00854888" w:rsidP="00B07D79">
            <w:pPr>
              <w:spacing w:line="276" w:lineRule="auto"/>
              <w:jc w:val="both"/>
              <w:rPr>
                <w:rFonts w:asciiTheme="minorHAnsi" w:hAnsiTheme="minorHAnsi"/>
              </w:rPr>
            </w:pPr>
            <w:r w:rsidRPr="00B07D79">
              <w:rPr>
                <w:rFonts w:asciiTheme="minorHAnsi" w:hAnsiTheme="minorHAnsi"/>
              </w:rPr>
              <w:t>85 820</w:t>
            </w:r>
          </w:p>
        </w:tc>
      </w:tr>
    </w:tbl>
    <w:p w14:paraId="248B6B90" w14:textId="5D964AB8" w:rsidR="00216A3A" w:rsidRPr="005E2F84" w:rsidRDefault="00216A3A" w:rsidP="005E2F8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(2024)</w:t>
      </w:r>
    </w:p>
    <w:p w14:paraId="53C036EC" w14:textId="011121AD" w:rsidR="00810DF2" w:rsidRPr="005E2F84" w:rsidRDefault="00810DF2"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Obrázek </w:t>
      </w:r>
      <w:r w:rsidR="007D4BC4" w:rsidRPr="005E2F84">
        <w:rPr>
          <w:rFonts w:asciiTheme="minorHAnsi" w:hAnsiTheme="minorHAnsi"/>
          <w:b w:val="0"/>
          <w:bCs w:val="0"/>
          <w:color w:val="385623" w:themeColor="accent6" w:themeShade="80"/>
        </w:rPr>
        <w:t xml:space="preserve">34 </w:t>
      </w:r>
      <w:r w:rsidRPr="005E2F84">
        <w:rPr>
          <w:rFonts w:asciiTheme="minorHAnsi" w:hAnsiTheme="minorHAnsi"/>
          <w:b w:val="0"/>
          <w:bCs w:val="0"/>
          <w:color w:val="385623" w:themeColor="accent6" w:themeShade="80"/>
        </w:rPr>
        <w:t>Projekce vývoje počtu elektrických nákladních vozidel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ČR</w:t>
      </w:r>
    </w:p>
    <w:p w14:paraId="7758B91A" w14:textId="77777777" w:rsidR="004F2215"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21C21DA6" wp14:editId="2EF81EE1">
            <wp:extent cx="4480560" cy="2522220"/>
            <wp:effectExtent l="0" t="0" r="0" b="0"/>
            <wp:docPr id="16378454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34917" name="Picture 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480560" cy="2522220"/>
                    </a:xfrm>
                    <a:prstGeom prst="rect">
                      <a:avLst/>
                    </a:prstGeom>
                    <a:noFill/>
                    <a:ln>
                      <a:noFill/>
                    </a:ln>
                  </pic:spPr>
                </pic:pic>
              </a:graphicData>
            </a:graphic>
          </wp:inline>
        </w:drawing>
      </w:r>
    </w:p>
    <w:p w14:paraId="53BF377F" w14:textId="536E1E78" w:rsidR="00542F6F" w:rsidRPr="009D0E24" w:rsidRDefault="00216A3A" w:rsidP="009D0E24">
      <w:pPr>
        <w:spacing w:line="276" w:lineRule="auto"/>
        <w:jc w:val="right"/>
        <w:rPr>
          <w:rFonts w:asciiTheme="minorHAnsi" w:hAnsiTheme="minorHAnsi"/>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(2024)</w:t>
      </w:r>
    </w:p>
    <w:p w14:paraId="3B5BCC67" w14:textId="1268A644" w:rsidR="004F2215" w:rsidRPr="005E2F84" w:rsidRDefault="004F2215" w:rsidP="00B07D79">
      <w:pPr>
        <w:spacing w:line="276" w:lineRule="auto"/>
        <w:jc w:val="both"/>
        <w:rPr>
          <w:rFonts w:asciiTheme="minorHAnsi" w:hAnsiTheme="minorHAnsi"/>
          <w:color w:val="385623" w:themeColor="accent6" w:themeShade="80"/>
        </w:rPr>
      </w:pPr>
      <w:r w:rsidRPr="005E2F84">
        <w:rPr>
          <w:rFonts w:asciiTheme="minorHAnsi" w:hAnsiTheme="minorHAnsi"/>
          <w:color w:val="385623" w:themeColor="accent6" w:themeShade="80"/>
        </w:rPr>
        <w:t>Veřejné dobíjecí stanice</w:t>
      </w:r>
    </w:p>
    <w:p w14:paraId="52DD1B01" w14:textId="0A77EFD2" w:rsidR="00E46C57" w:rsidRPr="00B07D79" w:rsidRDefault="004F2215" w:rsidP="00B07D79">
      <w:pPr>
        <w:spacing w:line="276" w:lineRule="auto"/>
        <w:jc w:val="both"/>
        <w:rPr>
          <w:rFonts w:asciiTheme="minorHAnsi" w:hAnsiTheme="minorHAnsi"/>
        </w:rPr>
      </w:pPr>
      <w:r w:rsidRPr="00B07D79">
        <w:rPr>
          <w:rFonts w:asciiTheme="minorHAnsi" w:hAnsiTheme="minorHAnsi"/>
        </w:rPr>
        <w:t>V návaznosti na predikce vývoje počtu elektrických vozidel byla stanovena i</w:t>
      </w:r>
      <w:r w:rsidR="00CF2351" w:rsidRPr="00B07D79">
        <w:rPr>
          <w:rFonts w:asciiTheme="minorHAnsi" w:hAnsiTheme="minorHAnsi"/>
        </w:rPr>
        <w:t> </w:t>
      </w:r>
      <w:r w:rsidRPr="00B07D79">
        <w:rPr>
          <w:rFonts w:asciiTheme="minorHAnsi" w:hAnsiTheme="minorHAnsi"/>
        </w:rPr>
        <w:t>celková očekávaná potřeba veřejných dobíjecích bodů v</w:t>
      </w:r>
      <w:r w:rsidR="00CF2351" w:rsidRPr="00B07D79">
        <w:rPr>
          <w:rFonts w:asciiTheme="minorHAnsi" w:hAnsiTheme="minorHAnsi"/>
        </w:rPr>
        <w:t> </w:t>
      </w:r>
      <w:r w:rsidRPr="00B07D79">
        <w:rPr>
          <w:rFonts w:asciiTheme="minorHAnsi" w:hAnsiTheme="minorHAnsi"/>
        </w:rPr>
        <w:t>jednotlivých scénářích a</w:t>
      </w:r>
      <w:r w:rsidR="00CF2351" w:rsidRPr="00B07D79">
        <w:rPr>
          <w:rFonts w:asciiTheme="minorHAnsi" w:hAnsiTheme="minorHAnsi"/>
        </w:rPr>
        <w:t> </w:t>
      </w:r>
      <w:r w:rsidRPr="00B07D79">
        <w:rPr>
          <w:rFonts w:asciiTheme="minorHAnsi" w:hAnsiTheme="minorHAnsi"/>
        </w:rPr>
        <w:t>časových řezech k</w:t>
      </w:r>
      <w:r w:rsidR="00CF2351" w:rsidRPr="00B07D79">
        <w:rPr>
          <w:rFonts w:asciiTheme="minorHAnsi" w:hAnsiTheme="minorHAnsi"/>
        </w:rPr>
        <w:t> </w:t>
      </w:r>
      <w:r w:rsidRPr="00B07D79">
        <w:rPr>
          <w:rFonts w:asciiTheme="minorHAnsi" w:hAnsiTheme="minorHAnsi"/>
        </w:rPr>
        <w:t xml:space="preserve">pokrytí potřeby dobíjení těchto vozidel. </w:t>
      </w:r>
    </w:p>
    <w:p w14:paraId="036373DC" w14:textId="05637070" w:rsidR="004F2215" w:rsidRPr="00B07D79" w:rsidRDefault="004F2215" w:rsidP="00B07D79">
      <w:pPr>
        <w:spacing w:line="276" w:lineRule="auto"/>
        <w:jc w:val="both"/>
        <w:rPr>
          <w:rFonts w:asciiTheme="minorHAnsi" w:hAnsiTheme="minorHAnsi"/>
        </w:rPr>
      </w:pPr>
      <w:r w:rsidRPr="00B07D79">
        <w:rPr>
          <w:rFonts w:asciiTheme="minorHAnsi" w:hAnsiTheme="minorHAnsi"/>
        </w:rPr>
        <w:t>Tuto potřebu uvádí následující sada tabulek:</w:t>
      </w:r>
    </w:p>
    <w:p w14:paraId="69F3AFD3" w14:textId="1C46E19D" w:rsidR="00854888" w:rsidRPr="005E2F84" w:rsidRDefault="004F2215" w:rsidP="00B07D79">
      <w:pPr>
        <w:pStyle w:val="Titulek"/>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Tabulka</w:t>
      </w:r>
      <w:bookmarkStart w:id="316" w:name="_Hlk162447475"/>
      <w:r w:rsidRPr="005E2F84">
        <w:rPr>
          <w:rFonts w:asciiTheme="minorHAnsi" w:hAnsiTheme="minorHAnsi"/>
          <w:b w:val="0"/>
          <w:bCs w:val="0"/>
          <w:color w:val="385623" w:themeColor="accent6" w:themeShade="80"/>
        </w:rPr>
        <w:t xml:space="preserve"> </w:t>
      </w:r>
      <w:r w:rsidR="0093250F" w:rsidRPr="005E2F84">
        <w:rPr>
          <w:rFonts w:asciiTheme="minorHAnsi" w:hAnsiTheme="minorHAnsi"/>
          <w:b w:val="0"/>
          <w:bCs w:val="0"/>
          <w:color w:val="385623" w:themeColor="accent6" w:themeShade="80"/>
        </w:rPr>
        <w:fldChar w:fldCharType="begin"/>
      </w:r>
      <w:r w:rsidR="0093250F" w:rsidRPr="005E2F84">
        <w:rPr>
          <w:rFonts w:asciiTheme="minorHAnsi" w:hAnsiTheme="minorHAnsi"/>
          <w:b w:val="0"/>
          <w:bCs w:val="0"/>
          <w:color w:val="385623" w:themeColor="accent6" w:themeShade="80"/>
        </w:rPr>
        <w:instrText xml:space="preserve"> SEQ Tabulka \* ARABIC </w:instrText>
      </w:r>
      <w:r w:rsidR="0093250F"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color w:val="385623" w:themeColor="accent6" w:themeShade="80"/>
        </w:rPr>
        <w:t>10</w:t>
      </w:r>
      <w:r w:rsidR="0093250F" w:rsidRPr="005E2F84">
        <w:rPr>
          <w:rFonts w:asciiTheme="minorHAnsi" w:hAnsiTheme="minorHAnsi"/>
          <w:b w:val="0"/>
          <w:bCs w:val="0"/>
          <w:color w:val="385623" w:themeColor="accent6" w:themeShade="80"/>
        </w:rPr>
        <w:fldChar w:fldCharType="end"/>
      </w:r>
      <w:r w:rsidRPr="005E2F84">
        <w:rPr>
          <w:rFonts w:asciiTheme="minorHAnsi" w:hAnsiTheme="minorHAnsi"/>
          <w:b w:val="0"/>
          <w:bCs w:val="0"/>
          <w:color w:val="385623" w:themeColor="accent6" w:themeShade="80"/>
        </w:rPr>
        <w:t xml:space="preserve"> Predikce počtu veřejných dobíjecích bodů v</w:t>
      </w:r>
      <w:r w:rsidR="00CF2351" w:rsidRPr="005E2F84">
        <w:rPr>
          <w:rFonts w:asciiTheme="minorHAnsi" w:hAnsiTheme="minorHAnsi"/>
          <w:b w:val="0"/>
          <w:bCs w:val="0"/>
          <w:color w:val="385623" w:themeColor="accent6" w:themeShade="80"/>
        </w:rPr>
        <w:t> </w:t>
      </w:r>
      <w:r w:rsidRPr="005E2F84">
        <w:rPr>
          <w:rFonts w:asciiTheme="minorHAnsi" w:hAnsiTheme="minorHAnsi"/>
          <w:b w:val="0"/>
          <w:bCs w:val="0"/>
          <w:color w:val="385623" w:themeColor="accent6" w:themeShade="80"/>
        </w:rPr>
        <w:t>nízkém scénáři rozvoje elektromobility</w:t>
      </w:r>
    </w:p>
    <w:tbl>
      <w:tblPr>
        <w:tblW w:w="90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2973"/>
        <w:gridCol w:w="1217"/>
        <w:gridCol w:w="1118"/>
        <w:gridCol w:w="1221"/>
        <w:gridCol w:w="1327"/>
        <w:gridCol w:w="1206"/>
      </w:tblGrid>
      <w:tr w:rsidR="00854888" w:rsidRPr="00B07D79" w14:paraId="2CF096DD" w14:textId="77777777" w:rsidTr="005E2F84">
        <w:trPr>
          <w:trHeight w:val="510"/>
          <w:tblHeader/>
        </w:trPr>
        <w:tc>
          <w:tcPr>
            <w:tcW w:w="2973" w:type="dxa"/>
            <w:shd w:val="clear" w:color="auto" w:fill="70AD47" w:themeFill="accent6"/>
            <w:noWrap/>
            <w:vAlign w:val="center"/>
            <w:hideMark/>
          </w:tcPr>
          <w:p w14:paraId="20D6DD33" w14:textId="10E39DAF" w:rsidR="00854888" w:rsidRPr="005E2F84" w:rsidRDefault="00854888" w:rsidP="00B07D79">
            <w:pPr>
              <w:spacing w:line="276" w:lineRule="auto"/>
              <w:jc w:val="both"/>
              <w:rPr>
                <w:rFonts w:asciiTheme="minorHAnsi" w:hAnsiTheme="minorHAnsi"/>
              </w:rPr>
            </w:pPr>
            <w:r w:rsidRPr="005E2F84">
              <w:rPr>
                <w:rFonts w:asciiTheme="minorHAnsi" w:hAnsiTheme="minorHAnsi"/>
              </w:rPr>
              <w:t>Nízký scénář</w:t>
            </w:r>
          </w:p>
        </w:tc>
        <w:tc>
          <w:tcPr>
            <w:tcW w:w="1217" w:type="dxa"/>
            <w:shd w:val="clear" w:color="auto" w:fill="70AD47" w:themeFill="accent6"/>
            <w:vAlign w:val="center"/>
          </w:tcPr>
          <w:p w14:paraId="6DF0BD40"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2025</w:t>
            </w:r>
          </w:p>
        </w:tc>
        <w:tc>
          <w:tcPr>
            <w:tcW w:w="1118" w:type="dxa"/>
            <w:shd w:val="clear" w:color="auto" w:fill="70AD47" w:themeFill="accent6"/>
            <w:vAlign w:val="center"/>
          </w:tcPr>
          <w:p w14:paraId="47992447"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2030</w:t>
            </w:r>
          </w:p>
        </w:tc>
        <w:tc>
          <w:tcPr>
            <w:tcW w:w="1221" w:type="dxa"/>
            <w:shd w:val="clear" w:color="auto" w:fill="70AD47" w:themeFill="accent6"/>
            <w:vAlign w:val="center"/>
          </w:tcPr>
          <w:p w14:paraId="5911A483"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2035</w:t>
            </w:r>
          </w:p>
        </w:tc>
        <w:tc>
          <w:tcPr>
            <w:tcW w:w="1327" w:type="dxa"/>
            <w:shd w:val="clear" w:color="auto" w:fill="70AD47" w:themeFill="accent6"/>
            <w:vAlign w:val="center"/>
          </w:tcPr>
          <w:p w14:paraId="14E124F0"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2040</w:t>
            </w:r>
          </w:p>
        </w:tc>
        <w:tc>
          <w:tcPr>
            <w:tcW w:w="1206" w:type="dxa"/>
            <w:shd w:val="clear" w:color="auto" w:fill="70AD47" w:themeFill="accent6"/>
            <w:vAlign w:val="center"/>
          </w:tcPr>
          <w:p w14:paraId="1C52BB85"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2045</w:t>
            </w:r>
          </w:p>
        </w:tc>
      </w:tr>
      <w:tr w:rsidR="00854888" w:rsidRPr="00B07D79" w14:paraId="6ED069FA" w14:textId="77777777" w:rsidTr="005E2F84">
        <w:trPr>
          <w:trHeight w:val="442"/>
        </w:trPr>
        <w:tc>
          <w:tcPr>
            <w:tcW w:w="2973" w:type="dxa"/>
            <w:shd w:val="clear" w:color="auto" w:fill="A8D08D" w:themeFill="accent6" w:themeFillTint="99"/>
            <w:vAlign w:val="center"/>
          </w:tcPr>
          <w:p w14:paraId="24D862F2"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11 kW</w:t>
            </w:r>
          </w:p>
        </w:tc>
        <w:tc>
          <w:tcPr>
            <w:tcW w:w="1217" w:type="dxa"/>
            <w:shd w:val="clear" w:color="auto" w:fill="A8D08D" w:themeFill="accent6" w:themeFillTint="99"/>
            <w:vAlign w:val="center"/>
          </w:tcPr>
          <w:p w14:paraId="1C589C68" w14:textId="7CF49ADC" w:rsidR="00854888" w:rsidRPr="00B07D79" w:rsidRDefault="00AC1556" w:rsidP="00B07D79">
            <w:pPr>
              <w:spacing w:line="276" w:lineRule="auto"/>
              <w:jc w:val="both"/>
              <w:rPr>
                <w:rFonts w:asciiTheme="minorHAnsi" w:hAnsiTheme="minorHAnsi"/>
              </w:rPr>
            </w:pPr>
            <w:r w:rsidRPr="00B07D79">
              <w:rPr>
                <w:rFonts w:asciiTheme="minorHAnsi" w:hAnsiTheme="minorHAnsi"/>
              </w:rPr>
              <w:t>895</w:t>
            </w:r>
          </w:p>
        </w:tc>
        <w:tc>
          <w:tcPr>
            <w:tcW w:w="1118" w:type="dxa"/>
            <w:shd w:val="clear" w:color="auto" w:fill="A8D08D" w:themeFill="accent6" w:themeFillTint="99"/>
            <w:vAlign w:val="center"/>
          </w:tcPr>
          <w:p w14:paraId="0E7507FE" w14:textId="6C037677" w:rsidR="00854888" w:rsidRPr="00B07D79" w:rsidRDefault="00AC1556" w:rsidP="00B07D79">
            <w:pPr>
              <w:spacing w:line="276" w:lineRule="auto"/>
              <w:jc w:val="both"/>
              <w:rPr>
                <w:rFonts w:asciiTheme="minorHAnsi" w:hAnsiTheme="minorHAnsi"/>
              </w:rPr>
            </w:pPr>
            <w:r w:rsidRPr="00B07D79">
              <w:rPr>
                <w:rFonts w:asciiTheme="minorHAnsi" w:hAnsiTheme="minorHAnsi"/>
              </w:rPr>
              <w:t>378</w:t>
            </w:r>
          </w:p>
        </w:tc>
        <w:tc>
          <w:tcPr>
            <w:tcW w:w="1221" w:type="dxa"/>
            <w:shd w:val="clear" w:color="auto" w:fill="A8D08D" w:themeFill="accent6" w:themeFillTint="99"/>
            <w:vAlign w:val="center"/>
          </w:tcPr>
          <w:p w14:paraId="3AC05651" w14:textId="4A0BC68D" w:rsidR="00854888" w:rsidRPr="00B07D79" w:rsidRDefault="00AC1556" w:rsidP="00B07D79">
            <w:pPr>
              <w:spacing w:line="276" w:lineRule="auto"/>
              <w:jc w:val="both"/>
              <w:rPr>
                <w:rFonts w:asciiTheme="minorHAnsi" w:hAnsiTheme="minorHAnsi"/>
              </w:rPr>
            </w:pPr>
            <w:r w:rsidRPr="00B07D79">
              <w:rPr>
                <w:rFonts w:asciiTheme="minorHAnsi" w:hAnsiTheme="minorHAnsi"/>
              </w:rPr>
              <w:t>588</w:t>
            </w:r>
          </w:p>
        </w:tc>
        <w:tc>
          <w:tcPr>
            <w:tcW w:w="1327" w:type="dxa"/>
            <w:shd w:val="clear" w:color="auto" w:fill="A8D08D" w:themeFill="accent6" w:themeFillTint="99"/>
            <w:vAlign w:val="center"/>
          </w:tcPr>
          <w:p w14:paraId="7FBC405B" w14:textId="09878012" w:rsidR="00854888" w:rsidRPr="00B07D79" w:rsidRDefault="00AC1556" w:rsidP="00B07D79">
            <w:pPr>
              <w:spacing w:line="276" w:lineRule="auto"/>
              <w:jc w:val="both"/>
              <w:rPr>
                <w:rFonts w:asciiTheme="minorHAnsi" w:hAnsiTheme="minorHAnsi"/>
              </w:rPr>
            </w:pPr>
            <w:r w:rsidRPr="00B07D79">
              <w:rPr>
                <w:rFonts w:asciiTheme="minorHAnsi" w:hAnsiTheme="minorHAnsi"/>
              </w:rPr>
              <w:t>1115</w:t>
            </w:r>
          </w:p>
        </w:tc>
        <w:tc>
          <w:tcPr>
            <w:tcW w:w="1206" w:type="dxa"/>
            <w:shd w:val="clear" w:color="auto" w:fill="A8D08D" w:themeFill="accent6" w:themeFillTint="99"/>
            <w:vAlign w:val="center"/>
          </w:tcPr>
          <w:p w14:paraId="73FDE894" w14:textId="6CD3007E" w:rsidR="00854888" w:rsidRPr="00B07D79" w:rsidRDefault="00AC1556" w:rsidP="00B07D79">
            <w:pPr>
              <w:spacing w:line="276" w:lineRule="auto"/>
              <w:jc w:val="both"/>
              <w:rPr>
                <w:rFonts w:asciiTheme="minorHAnsi" w:hAnsiTheme="minorHAnsi"/>
              </w:rPr>
            </w:pPr>
            <w:r w:rsidRPr="00B07D79">
              <w:rPr>
                <w:rFonts w:asciiTheme="minorHAnsi" w:hAnsiTheme="minorHAnsi"/>
              </w:rPr>
              <w:t>1 864</w:t>
            </w:r>
          </w:p>
        </w:tc>
      </w:tr>
      <w:tr w:rsidR="00854888" w:rsidRPr="00B07D79" w14:paraId="53205230" w14:textId="77777777" w:rsidTr="005E2F84">
        <w:trPr>
          <w:trHeight w:val="442"/>
        </w:trPr>
        <w:tc>
          <w:tcPr>
            <w:tcW w:w="2973" w:type="dxa"/>
            <w:shd w:val="clear" w:color="auto" w:fill="A8D08D" w:themeFill="accent6" w:themeFillTint="99"/>
            <w:vAlign w:val="center"/>
          </w:tcPr>
          <w:p w14:paraId="4C7E9188" w14:textId="22AAEB87" w:rsidR="00854888" w:rsidRPr="00B07D79" w:rsidRDefault="00854888" w:rsidP="00B07D79">
            <w:pPr>
              <w:spacing w:line="276" w:lineRule="auto"/>
              <w:jc w:val="both"/>
              <w:rPr>
                <w:rFonts w:asciiTheme="minorHAnsi" w:hAnsiTheme="minorHAnsi"/>
              </w:rPr>
            </w:pPr>
            <w:r w:rsidRPr="00B07D79">
              <w:rPr>
                <w:rFonts w:asciiTheme="minorHAnsi" w:hAnsiTheme="minorHAnsi"/>
              </w:rPr>
              <w:t xml:space="preserve">22 </w:t>
            </w:r>
            <w:r w:rsidR="00FA7F80" w:rsidRPr="00B07D79">
              <w:rPr>
                <w:rFonts w:asciiTheme="minorHAnsi" w:hAnsiTheme="minorHAnsi"/>
              </w:rPr>
              <w:t>k</w:t>
            </w:r>
            <w:r w:rsidRPr="00B07D79">
              <w:rPr>
                <w:rFonts w:asciiTheme="minorHAnsi" w:hAnsiTheme="minorHAnsi"/>
              </w:rPr>
              <w:t>W</w:t>
            </w:r>
          </w:p>
        </w:tc>
        <w:tc>
          <w:tcPr>
            <w:tcW w:w="1217" w:type="dxa"/>
            <w:shd w:val="clear" w:color="auto" w:fill="A8D08D" w:themeFill="accent6" w:themeFillTint="99"/>
            <w:vAlign w:val="center"/>
          </w:tcPr>
          <w:p w14:paraId="2EA1F609" w14:textId="7A3A8B09" w:rsidR="00854888" w:rsidRPr="00B07D79" w:rsidRDefault="00AC1556" w:rsidP="00B07D79">
            <w:pPr>
              <w:spacing w:line="276" w:lineRule="auto"/>
              <w:jc w:val="both"/>
              <w:rPr>
                <w:rFonts w:asciiTheme="minorHAnsi" w:hAnsiTheme="minorHAnsi"/>
              </w:rPr>
            </w:pPr>
            <w:r w:rsidRPr="00B07D79">
              <w:rPr>
                <w:rFonts w:asciiTheme="minorHAnsi" w:hAnsiTheme="minorHAnsi"/>
              </w:rPr>
              <w:t>2 896</w:t>
            </w:r>
          </w:p>
        </w:tc>
        <w:tc>
          <w:tcPr>
            <w:tcW w:w="1118" w:type="dxa"/>
            <w:shd w:val="clear" w:color="auto" w:fill="A8D08D" w:themeFill="accent6" w:themeFillTint="99"/>
            <w:vAlign w:val="center"/>
          </w:tcPr>
          <w:p w14:paraId="166872C4" w14:textId="0B1127D9" w:rsidR="00854888" w:rsidRPr="00B07D79" w:rsidRDefault="00AC1556" w:rsidP="00B07D79">
            <w:pPr>
              <w:spacing w:line="276" w:lineRule="auto"/>
              <w:jc w:val="both"/>
              <w:rPr>
                <w:rFonts w:asciiTheme="minorHAnsi" w:hAnsiTheme="minorHAnsi"/>
              </w:rPr>
            </w:pPr>
            <w:r w:rsidRPr="00B07D79">
              <w:rPr>
                <w:rFonts w:asciiTheme="minorHAnsi" w:hAnsiTheme="minorHAnsi"/>
              </w:rPr>
              <w:t>5 367</w:t>
            </w:r>
          </w:p>
        </w:tc>
        <w:tc>
          <w:tcPr>
            <w:tcW w:w="1221" w:type="dxa"/>
            <w:shd w:val="clear" w:color="auto" w:fill="A8D08D" w:themeFill="accent6" w:themeFillTint="99"/>
            <w:vAlign w:val="center"/>
          </w:tcPr>
          <w:p w14:paraId="40078539" w14:textId="118381AF" w:rsidR="00854888" w:rsidRPr="00B07D79" w:rsidRDefault="00AC1556" w:rsidP="00B07D79">
            <w:pPr>
              <w:spacing w:line="276" w:lineRule="auto"/>
              <w:jc w:val="both"/>
              <w:rPr>
                <w:rFonts w:asciiTheme="minorHAnsi" w:hAnsiTheme="minorHAnsi"/>
              </w:rPr>
            </w:pPr>
            <w:r w:rsidRPr="00B07D79">
              <w:rPr>
                <w:rFonts w:asciiTheme="minorHAnsi" w:hAnsiTheme="minorHAnsi"/>
              </w:rPr>
              <w:t>8 362</w:t>
            </w:r>
          </w:p>
        </w:tc>
        <w:tc>
          <w:tcPr>
            <w:tcW w:w="1327" w:type="dxa"/>
            <w:shd w:val="clear" w:color="auto" w:fill="A8D08D" w:themeFill="accent6" w:themeFillTint="99"/>
            <w:vAlign w:val="center"/>
          </w:tcPr>
          <w:p w14:paraId="7B8EA223" w14:textId="49BE8B3F" w:rsidR="00854888" w:rsidRPr="00B07D79" w:rsidRDefault="00AC1556" w:rsidP="00B07D79">
            <w:pPr>
              <w:spacing w:line="276" w:lineRule="auto"/>
              <w:jc w:val="both"/>
              <w:rPr>
                <w:rFonts w:asciiTheme="minorHAnsi" w:hAnsiTheme="minorHAnsi"/>
              </w:rPr>
            </w:pPr>
            <w:r w:rsidRPr="00B07D79">
              <w:rPr>
                <w:rFonts w:asciiTheme="minorHAnsi" w:hAnsiTheme="minorHAnsi"/>
              </w:rPr>
              <w:t>17 784</w:t>
            </w:r>
          </w:p>
        </w:tc>
        <w:tc>
          <w:tcPr>
            <w:tcW w:w="1206" w:type="dxa"/>
            <w:shd w:val="clear" w:color="auto" w:fill="A8D08D" w:themeFill="accent6" w:themeFillTint="99"/>
            <w:vAlign w:val="center"/>
          </w:tcPr>
          <w:p w14:paraId="29EF0F07" w14:textId="2E28139B" w:rsidR="00854888" w:rsidRPr="00B07D79" w:rsidRDefault="00AC1556" w:rsidP="00B07D79">
            <w:pPr>
              <w:spacing w:line="276" w:lineRule="auto"/>
              <w:jc w:val="both"/>
              <w:rPr>
                <w:rFonts w:asciiTheme="minorHAnsi" w:hAnsiTheme="minorHAnsi"/>
              </w:rPr>
            </w:pPr>
            <w:r w:rsidRPr="00B07D79">
              <w:rPr>
                <w:rFonts w:asciiTheme="minorHAnsi" w:hAnsiTheme="minorHAnsi"/>
              </w:rPr>
              <w:t>29 732</w:t>
            </w:r>
          </w:p>
        </w:tc>
      </w:tr>
      <w:tr w:rsidR="00854888" w:rsidRPr="00B07D79" w14:paraId="644BE7D3" w14:textId="77777777" w:rsidTr="005E2F84">
        <w:trPr>
          <w:trHeight w:val="442"/>
        </w:trPr>
        <w:tc>
          <w:tcPr>
            <w:tcW w:w="2973" w:type="dxa"/>
            <w:shd w:val="clear" w:color="auto" w:fill="A8D08D" w:themeFill="accent6" w:themeFillTint="99"/>
            <w:vAlign w:val="center"/>
          </w:tcPr>
          <w:p w14:paraId="19FDE2B1"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50-149 kW</w:t>
            </w:r>
          </w:p>
        </w:tc>
        <w:tc>
          <w:tcPr>
            <w:tcW w:w="1217" w:type="dxa"/>
            <w:shd w:val="clear" w:color="auto" w:fill="A8D08D" w:themeFill="accent6" w:themeFillTint="99"/>
            <w:vAlign w:val="center"/>
          </w:tcPr>
          <w:p w14:paraId="3BEE5F51" w14:textId="6D6C72B5" w:rsidR="00854888" w:rsidRPr="00B07D79" w:rsidRDefault="00854888" w:rsidP="00B07D79">
            <w:pPr>
              <w:spacing w:line="276" w:lineRule="auto"/>
              <w:jc w:val="both"/>
              <w:rPr>
                <w:rFonts w:asciiTheme="minorHAnsi" w:hAnsiTheme="minorHAnsi"/>
              </w:rPr>
            </w:pPr>
            <w:r w:rsidRPr="00B07D79">
              <w:rPr>
                <w:rFonts w:asciiTheme="minorHAnsi" w:hAnsiTheme="minorHAnsi"/>
              </w:rPr>
              <w:t>104</w:t>
            </w:r>
          </w:p>
        </w:tc>
        <w:tc>
          <w:tcPr>
            <w:tcW w:w="1118" w:type="dxa"/>
            <w:shd w:val="clear" w:color="auto" w:fill="A8D08D" w:themeFill="accent6" w:themeFillTint="99"/>
            <w:vAlign w:val="center"/>
          </w:tcPr>
          <w:p w14:paraId="42CB770C" w14:textId="48945314" w:rsidR="00854888" w:rsidRPr="00B07D79" w:rsidRDefault="00854888" w:rsidP="00B07D79">
            <w:pPr>
              <w:spacing w:line="276" w:lineRule="auto"/>
              <w:jc w:val="both"/>
              <w:rPr>
                <w:rFonts w:asciiTheme="minorHAnsi" w:hAnsiTheme="minorHAnsi"/>
              </w:rPr>
            </w:pPr>
            <w:r w:rsidRPr="00B07D79">
              <w:rPr>
                <w:rFonts w:asciiTheme="minorHAnsi" w:hAnsiTheme="minorHAnsi"/>
              </w:rPr>
              <w:t>165</w:t>
            </w:r>
          </w:p>
        </w:tc>
        <w:tc>
          <w:tcPr>
            <w:tcW w:w="1221" w:type="dxa"/>
            <w:shd w:val="clear" w:color="auto" w:fill="A8D08D" w:themeFill="accent6" w:themeFillTint="99"/>
            <w:vAlign w:val="center"/>
          </w:tcPr>
          <w:p w14:paraId="12A2F249" w14:textId="7D0E38BA" w:rsidR="00854888" w:rsidRPr="00B07D79" w:rsidRDefault="00854888" w:rsidP="00B07D79">
            <w:pPr>
              <w:spacing w:line="276" w:lineRule="auto"/>
              <w:jc w:val="both"/>
              <w:rPr>
                <w:rFonts w:asciiTheme="minorHAnsi" w:hAnsiTheme="minorHAnsi"/>
              </w:rPr>
            </w:pPr>
            <w:r w:rsidRPr="00B07D79">
              <w:rPr>
                <w:rFonts w:asciiTheme="minorHAnsi" w:hAnsiTheme="minorHAnsi"/>
              </w:rPr>
              <w:t>217</w:t>
            </w:r>
          </w:p>
        </w:tc>
        <w:tc>
          <w:tcPr>
            <w:tcW w:w="1327" w:type="dxa"/>
            <w:shd w:val="clear" w:color="auto" w:fill="A8D08D" w:themeFill="accent6" w:themeFillTint="99"/>
            <w:vAlign w:val="center"/>
          </w:tcPr>
          <w:p w14:paraId="103595B7" w14:textId="12D6CD32" w:rsidR="00854888" w:rsidRPr="00B07D79" w:rsidRDefault="00854888" w:rsidP="00B07D79">
            <w:pPr>
              <w:spacing w:line="276" w:lineRule="auto"/>
              <w:jc w:val="both"/>
              <w:rPr>
                <w:rFonts w:asciiTheme="minorHAnsi" w:hAnsiTheme="minorHAnsi"/>
              </w:rPr>
            </w:pPr>
            <w:r w:rsidRPr="00B07D79">
              <w:rPr>
                <w:rFonts w:asciiTheme="minorHAnsi" w:hAnsiTheme="minorHAnsi"/>
              </w:rPr>
              <w:t>278</w:t>
            </w:r>
          </w:p>
        </w:tc>
        <w:tc>
          <w:tcPr>
            <w:tcW w:w="1206" w:type="dxa"/>
            <w:shd w:val="clear" w:color="auto" w:fill="A8D08D" w:themeFill="accent6" w:themeFillTint="99"/>
            <w:vAlign w:val="center"/>
          </w:tcPr>
          <w:p w14:paraId="72BD53FC" w14:textId="3C6F5776" w:rsidR="00854888" w:rsidRPr="00B07D79" w:rsidRDefault="00854888" w:rsidP="00B07D79">
            <w:pPr>
              <w:spacing w:line="276" w:lineRule="auto"/>
              <w:jc w:val="both"/>
              <w:rPr>
                <w:rFonts w:asciiTheme="minorHAnsi" w:hAnsiTheme="minorHAnsi"/>
              </w:rPr>
            </w:pPr>
            <w:r w:rsidRPr="00B07D79">
              <w:rPr>
                <w:rFonts w:asciiTheme="minorHAnsi" w:hAnsiTheme="minorHAnsi"/>
              </w:rPr>
              <w:t>452</w:t>
            </w:r>
          </w:p>
        </w:tc>
      </w:tr>
      <w:tr w:rsidR="00854888" w:rsidRPr="00B07D79" w14:paraId="32385728" w14:textId="77777777" w:rsidTr="005E2F84">
        <w:trPr>
          <w:trHeight w:val="442"/>
        </w:trPr>
        <w:tc>
          <w:tcPr>
            <w:tcW w:w="2973" w:type="dxa"/>
            <w:shd w:val="clear" w:color="auto" w:fill="A8D08D" w:themeFill="accent6" w:themeFillTint="99"/>
            <w:vAlign w:val="center"/>
          </w:tcPr>
          <w:p w14:paraId="4F097E77"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150-349 kW</w:t>
            </w:r>
          </w:p>
        </w:tc>
        <w:tc>
          <w:tcPr>
            <w:tcW w:w="1217" w:type="dxa"/>
            <w:shd w:val="clear" w:color="auto" w:fill="A8D08D" w:themeFill="accent6" w:themeFillTint="99"/>
            <w:vAlign w:val="center"/>
          </w:tcPr>
          <w:p w14:paraId="3A457BE3" w14:textId="3D2B5B91" w:rsidR="00854888" w:rsidRPr="00B07D79" w:rsidRDefault="00854888" w:rsidP="00B07D79">
            <w:pPr>
              <w:spacing w:line="276" w:lineRule="auto"/>
              <w:jc w:val="both"/>
              <w:rPr>
                <w:rFonts w:asciiTheme="minorHAnsi" w:hAnsiTheme="minorHAnsi"/>
              </w:rPr>
            </w:pPr>
            <w:r w:rsidRPr="00B07D79">
              <w:rPr>
                <w:rFonts w:asciiTheme="minorHAnsi" w:hAnsiTheme="minorHAnsi"/>
              </w:rPr>
              <w:t>36</w:t>
            </w:r>
          </w:p>
        </w:tc>
        <w:tc>
          <w:tcPr>
            <w:tcW w:w="1118" w:type="dxa"/>
            <w:shd w:val="clear" w:color="auto" w:fill="A8D08D" w:themeFill="accent6" w:themeFillTint="99"/>
            <w:vAlign w:val="center"/>
          </w:tcPr>
          <w:p w14:paraId="16AE9972" w14:textId="4FE2D0F9" w:rsidR="00854888" w:rsidRPr="00B07D79" w:rsidRDefault="00854888" w:rsidP="00B07D79">
            <w:pPr>
              <w:spacing w:line="276" w:lineRule="auto"/>
              <w:jc w:val="both"/>
              <w:rPr>
                <w:rFonts w:asciiTheme="minorHAnsi" w:hAnsiTheme="minorHAnsi"/>
              </w:rPr>
            </w:pPr>
            <w:r w:rsidRPr="00B07D79">
              <w:rPr>
                <w:rFonts w:asciiTheme="minorHAnsi" w:hAnsiTheme="minorHAnsi"/>
              </w:rPr>
              <w:t>100</w:t>
            </w:r>
          </w:p>
        </w:tc>
        <w:tc>
          <w:tcPr>
            <w:tcW w:w="1221" w:type="dxa"/>
            <w:shd w:val="clear" w:color="auto" w:fill="A8D08D" w:themeFill="accent6" w:themeFillTint="99"/>
            <w:vAlign w:val="center"/>
          </w:tcPr>
          <w:p w14:paraId="4341660F" w14:textId="1CEAA0C4" w:rsidR="00854888" w:rsidRPr="00B07D79" w:rsidRDefault="00854888" w:rsidP="00B07D79">
            <w:pPr>
              <w:spacing w:line="276" w:lineRule="auto"/>
              <w:jc w:val="both"/>
              <w:rPr>
                <w:rFonts w:asciiTheme="minorHAnsi" w:hAnsiTheme="minorHAnsi"/>
              </w:rPr>
            </w:pPr>
            <w:r w:rsidRPr="00B07D79">
              <w:rPr>
                <w:rFonts w:asciiTheme="minorHAnsi" w:hAnsiTheme="minorHAnsi"/>
              </w:rPr>
              <w:t>184</w:t>
            </w:r>
          </w:p>
        </w:tc>
        <w:tc>
          <w:tcPr>
            <w:tcW w:w="1327" w:type="dxa"/>
            <w:shd w:val="clear" w:color="auto" w:fill="A8D08D" w:themeFill="accent6" w:themeFillTint="99"/>
            <w:vAlign w:val="center"/>
          </w:tcPr>
          <w:p w14:paraId="3EF51767" w14:textId="1F20441A" w:rsidR="00854888" w:rsidRPr="00B07D79" w:rsidRDefault="00854888" w:rsidP="00B07D79">
            <w:pPr>
              <w:spacing w:line="276" w:lineRule="auto"/>
              <w:jc w:val="both"/>
              <w:rPr>
                <w:rFonts w:asciiTheme="minorHAnsi" w:hAnsiTheme="minorHAnsi"/>
              </w:rPr>
            </w:pPr>
            <w:r w:rsidRPr="00B07D79">
              <w:rPr>
                <w:rFonts w:asciiTheme="minorHAnsi" w:hAnsiTheme="minorHAnsi"/>
              </w:rPr>
              <w:t>378</w:t>
            </w:r>
          </w:p>
        </w:tc>
        <w:tc>
          <w:tcPr>
            <w:tcW w:w="1206" w:type="dxa"/>
            <w:shd w:val="clear" w:color="auto" w:fill="A8D08D" w:themeFill="accent6" w:themeFillTint="99"/>
            <w:vAlign w:val="center"/>
          </w:tcPr>
          <w:p w14:paraId="5B8FAEF8" w14:textId="16D20A19" w:rsidR="00854888" w:rsidRPr="00B07D79" w:rsidRDefault="00854888" w:rsidP="00B07D79">
            <w:pPr>
              <w:spacing w:line="276" w:lineRule="auto"/>
              <w:jc w:val="both"/>
              <w:rPr>
                <w:rFonts w:asciiTheme="minorHAnsi" w:hAnsiTheme="minorHAnsi"/>
              </w:rPr>
            </w:pPr>
            <w:r w:rsidRPr="00B07D79">
              <w:rPr>
                <w:rFonts w:asciiTheme="minorHAnsi" w:hAnsiTheme="minorHAnsi"/>
              </w:rPr>
              <w:t>638</w:t>
            </w:r>
          </w:p>
        </w:tc>
      </w:tr>
      <w:tr w:rsidR="00854888" w:rsidRPr="00B07D79" w14:paraId="6ACF1F05" w14:textId="77777777" w:rsidTr="005E2F84">
        <w:trPr>
          <w:trHeight w:val="442"/>
        </w:trPr>
        <w:tc>
          <w:tcPr>
            <w:tcW w:w="2973" w:type="dxa"/>
            <w:shd w:val="clear" w:color="auto" w:fill="A8D08D" w:themeFill="accent6" w:themeFillTint="99"/>
            <w:vAlign w:val="center"/>
          </w:tcPr>
          <w:p w14:paraId="3674650F"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350+ kW</w:t>
            </w:r>
          </w:p>
        </w:tc>
        <w:tc>
          <w:tcPr>
            <w:tcW w:w="1217" w:type="dxa"/>
            <w:shd w:val="clear" w:color="auto" w:fill="A8D08D" w:themeFill="accent6" w:themeFillTint="99"/>
            <w:vAlign w:val="center"/>
          </w:tcPr>
          <w:p w14:paraId="2A55CDE3" w14:textId="4E17B4CC" w:rsidR="00854888" w:rsidRPr="00B07D79" w:rsidRDefault="00854888" w:rsidP="00B07D79">
            <w:pPr>
              <w:spacing w:line="276" w:lineRule="auto"/>
              <w:jc w:val="both"/>
              <w:rPr>
                <w:rFonts w:asciiTheme="minorHAnsi" w:hAnsiTheme="minorHAnsi"/>
              </w:rPr>
            </w:pPr>
            <w:r w:rsidRPr="00B07D79">
              <w:rPr>
                <w:rFonts w:asciiTheme="minorHAnsi" w:hAnsiTheme="minorHAnsi"/>
              </w:rPr>
              <w:t>11</w:t>
            </w:r>
          </w:p>
        </w:tc>
        <w:tc>
          <w:tcPr>
            <w:tcW w:w="1118" w:type="dxa"/>
            <w:shd w:val="clear" w:color="auto" w:fill="A8D08D" w:themeFill="accent6" w:themeFillTint="99"/>
            <w:vAlign w:val="center"/>
          </w:tcPr>
          <w:p w14:paraId="38C84459" w14:textId="09732247" w:rsidR="00854888" w:rsidRPr="00B07D79" w:rsidRDefault="00854888" w:rsidP="00B07D79">
            <w:pPr>
              <w:spacing w:line="276" w:lineRule="auto"/>
              <w:jc w:val="both"/>
              <w:rPr>
                <w:rFonts w:asciiTheme="minorHAnsi" w:hAnsiTheme="minorHAnsi"/>
              </w:rPr>
            </w:pPr>
            <w:r w:rsidRPr="00B07D79">
              <w:rPr>
                <w:rFonts w:asciiTheme="minorHAnsi" w:hAnsiTheme="minorHAnsi"/>
              </w:rPr>
              <w:t>31</w:t>
            </w:r>
          </w:p>
        </w:tc>
        <w:tc>
          <w:tcPr>
            <w:tcW w:w="1221" w:type="dxa"/>
            <w:shd w:val="clear" w:color="auto" w:fill="A8D08D" w:themeFill="accent6" w:themeFillTint="99"/>
            <w:vAlign w:val="center"/>
          </w:tcPr>
          <w:p w14:paraId="75F2DDB9" w14:textId="35A1D738" w:rsidR="00854888" w:rsidRPr="00B07D79" w:rsidRDefault="00854888" w:rsidP="00B07D79">
            <w:pPr>
              <w:spacing w:line="276" w:lineRule="auto"/>
              <w:jc w:val="both"/>
              <w:rPr>
                <w:rFonts w:asciiTheme="minorHAnsi" w:hAnsiTheme="minorHAnsi"/>
              </w:rPr>
            </w:pPr>
            <w:r w:rsidRPr="00B07D79">
              <w:rPr>
                <w:rFonts w:asciiTheme="minorHAnsi" w:hAnsiTheme="minorHAnsi"/>
              </w:rPr>
              <w:t>76</w:t>
            </w:r>
          </w:p>
        </w:tc>
        <w:tc>
          <w:tcPr>
            <w:tcW w:w="1327" w:type="dxa"/>
            <w:shd w:val="clear" w:color="auto" w:fill="A8D08D" w:themeFill="accent6" w:themeFillTint="99"/>
            <w:vAlign w:val="center"/>
          </w:tcPr>
          <w:p w14:paraId="013108C8" w14:textId="2A74561D" w:rsidR="00854888" w:rsidRPr="00B07D79" w:rsidRDefault="00854888" w:rsidP="00B07D79">
            <w:pPr>
              <w:spacing w:line="276" w:lineRule="auto"/>
              <w:jc w:val="both"/>
              <w:rPr>
                <w:rFonts w:asciiTheme="minorHAnsi" w:hAnsiTheme="minorHAnsi"/>
              </w:rPr>
            </w:pPr>
            <w:r w:rsidRPr="00B07D79">
              <w:rPr>
                <w:rFonts w:asciiTheme="minorHAnsi" w:hAnsiTheme="minorHAnsi"/>
              </w:rPr>
              <w:t>178</w:t>
            </w:r>
          </w:p>
        </w:tc>
        <w:tc>
          <w:tcPr>
            <w:tcW w:w="1206" w:type="dxa"/>
            <w:shd w:val="clear" w:color="auto" w:fill="A8D08D" w:themeFill="accent6" w:themeFillTint="99"/>
            <w:vAlign w:val="center"/>
          </w:tcPr>
          <w:p w14:paraId="512A9CD3" w14:textId="10D46CEC" w:rsidR="00854888" w:rsidRPr="00B07D79" w:rsidRDefault="00854888" w:rsidP="00B07D79">
            <w:pPr>
              <w:spacing w:line="276" w:lineRule="auto"/>
              <w:jc w:val="both"/>
              <w:rPr>
                <w:rFonts w:asciiTheme="minorHAnsi" w:hAnsiTheme="minorHAnsi"/>
              </w:rPr>
            </w:pPr>
            <w:r w:rsidRPr="00B07D79">
              <w:rPr>
                <w:rFonts w:asciiTheme="minorHAnsi" w:hAnsiTheme="minorHAnsi"/>
              </w:rPr>
              <w:t>330</w:t>
            </w:r>
          </w:p>
        </w:tc>
      </w:tr>
      <w:tr w:rsidR="00854888" w:rsidRPr="00B07D79" w14:paraId="2EEC1BCD" w14:textId="77777777" w:rsidTr="005E2F84">
        <w:trPr>
          <w:trHeight w:val="442"/>
        </w:trPr>
        <w:tc>
          <w:tcPr>
            <w:tcW w:w="2973" w:type="dxa"/>
            <w:shd w:val="clear" w:color="auto" w:fill="A8D08D" w:themeFill="accent6" w:themeFillTint="99"/>
            <w:vAlign w:val="center"/>
          </w:tcPr>
          <w:p w14:paraId="26E5FC5A"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lastRenderedPageBreak/>
              <w:t>1 000+ kW</w:t>
            </w:r>
          </w:p>
        </w:tc>
        <w:tc>
          <w:tcPr>
            <w:tcW w:w="1217" w:type="dxa"/>
            <w:shd w:val="clear" w:color="auto" w:fill="A8D08D" w:themeFill="accent6" w:themeFillTint="99"/>
            <w:vAlign w:val="center"/>
          </w:tcPr>
          <w:p w14:paraId="600ED425" w14:textId="61216045" w:rsidR="00854888" w:rsidRPr="00B07D79" w:rsidRDefault="00854888" w:rsidP="00B07D79">
            <w:pPr>
              <w:spacing w:line="276" w:lineRule="auto"/>
              <w:jc w:val="both"/>
              <w:rPr>
                <w:rFonts w:asciiTheme="minorHAnsi" w:hAnsiTheme="minorHAnsi"/>
              </w:rPr>
            </w:pPr>
            <w:r w:rsidRPr="00B07D79">
              <w:rPr>
                <w:rFonts w:asciiTheme="minorHAnsi" w:hAnsiTheme="minorHAnsi"/>
              </w:rPr>
              <w:t>0</w:t>
            </w:r>
          </w:p>
        </w:tc>
        <w:tc>
          <w:tcPr>
            <w:tcW w:w="1118" w:type="dxa"/>
            <w:shd w:val="clear" w:color="auto" w:fill="A8D08D" w:themeFill="accent6" w:themeFillTint="99"/>
            <w:vAlign w:val="center"/>
          </w:tcPr>
          <w:p w14:paraId="33ED8C46" w14:textId="58771176" w:rsidR="00854888" w:rsidRPr="00B07D79" w:rsidRDefault="00854888" w:rsidP="00B07D79">
            <w:pPr>
              <w:spacing w:line="276" w:lineRule="auto"/>
              <w:jc w:val="both"/>
              <w:rPr>
                <w:rFonts w:asciiTheme="minorHAnsi" w:hAnsiTheme="minorHAnsi"/>
              </w:rPr>
            </w:pPr>
            <w:r w:rsidRPr="00B07D79">
              <w:rPr>
                <w:rFonts w:asciiTheme="minorHAnsi" w:hAnsiTheme="minorHAnsi"/>
              </w:rPr>
              <w:t>2</w:t>
            </w:r>
          </w:p>
        </w:tc>
        <w:tc>
          <w:tcPr>
            <w:tcW w:w="1221" w:type="dxa"/>
            <w:shd w:val="clear" w:color="auto" w:fill="A8D08D" w:themeFill="accent6" w:themeFillTint="99"/>
            <w:vAlign w:val="center"/>
          </w:tcPr>
          <w:p w14:paraId="3B2B246F" w14:textId="0C10B48E" w:rsidR="00854888" w:rsidRPr="00B07D79" w:rsidRDefault="00854888" w:rsidP="00B07D79">
            <w:pPr>
              <w:spacing w:line="276" w:lineRule="auto"/>
              <w:jc w:val="both"/>
              <w:rPr>
                <w:rFonts w:asciiTheme="minorHAnsi" w:hAnsiTheme="minorHAnsi"/>
              </w:rPr>
            </w:pPr>
            <w:r w:rsidRPr="00B07D79">
              <w:rPr>
                <w:rFonts w:asciiTheme="minorHAnsi" w:hAnsiTheme="minorHAnsi"/>
              </w:rPr>
              <w:t>84</w:t>
            </w:r>
          </w:p>
        </w:tc>
        <w:tc>
          <w:tcPr>
            <w:tcW w:w="1327" w:type="dxa"/>
            <w:shd w:val="clear" w:color="auto" w:fill="A8D08D" w:themeFill="accent6" w:themeFillTint="99"/>
            <w:vAlign w:val="center"/>
          </w:tcPr>
          <w:p w14:paraId="01218959" w14:textId="44823A99" w:rsidR="00854888" w:rsidRPr="00B07D79" w:rsidRDefault="00854888" w:rsidP="00B07D79">
            <w:pPr>
              <w:spacing w:line="276" w:lineRule="auto"/>
              <w:jc w:val="both"/>
              <w:rPr>
                <w:rFonts w:asciiTheme="minorHAnsi" w:hAnsiTheme="minorHAnsi"/>
              </w:rPr>
            </w:pPr>
            <w:r w:rsidRPr="00B07D79">
              <w:rPr>
                <w:rFonts w:asciiTheme="minorHAnsi" w:hAnsiTheme="minorHAnsi"/>
              </w:rPr>
              <w:t>304</w:t>
            </w:r>
          </w:p>
        </w:tc>
        <w:tc>
          <w:tcPr>
            <w:tcW w:w="1206" w:type="dxa"/>
            <w:shd w:val="clear" w:color="auto" w:fill="A8D08D" w:themeFill="accent6" w:themeFillTint="99"/>
            <w:vAlign w:val="center"/>
          </w:tcPr>
          <w:p w14:paraId="7E9ED8B2" w14:textId="5CE63C65" w:rsidR="00854888" w:rsidRPr="00B07D79" w:rsidRDefault="00854888" w:rsidP="00B07D79">
            <w:pPr>
              <w:spacing w:line="276" w:lineRule="auto"/>
              <w:jc w:val="both"/>
              <w:rPr>
                <w:rFonts w:asciiTheme="minorHAnsi" w:hAnsiTheme="minorHAnsi"/>
              </w:rPr>
            </w:pPr>
            <w:r w:rsidRPr="00B07D79">
              <w:rPr>
                <w:rFonts w:asciiTheme="minorHAnsi" w:hAnsiTheme="minorHAnsi"/>
              </w:rPr>
              <w:t>742</w:t>
            </w:r>
          </w:p>
        </w:tc>
      </w:tr>
    </w:tbl>
    <w:p w14:paraId="6FF88373" w14:textId="3A0B91AB" w:rsidR="00542F6F" w:rsidRPr="009D0E24" w:rsidRDefault="00216A3A" w:rsidP="009D0E24">
      <w:pPr>
        <w:spacing w:line="276" w:lineRule="auto"/>
        <w:jc w:val="right"/>
        <w:rPr>
          <w:rFonts w:asciiTheme="minorHAnsi" w:hAnsiTheme="minorHAnsi"/>
          <w:i/>
          <w:iCs/>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(2024)</w:t>
      </w:r>
    </w:p>
    <w:bookmarkEnd w:id="316"/>
    <w:p w14:paraId="757FA4B1" w14:textId="36AAFCC8" w:rsidR="00A347AF" w:rsidRPr="005E2F84" w:rsidRDefault="00EF7999"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Tabulka </w:t>
      </w:r>
      <w:r w:rsidR="003D774B" w:rsidRPr="005E2F84">
        <w:rPr>
          <w:rFonts w:asciiTheme="minorHAnsi" w:hAnsiTheme="minorHAnsi"/>
          <w:b w:val="0"/>
          <w:bCs w:val="0"/>
          <w:color w:val="385623" w:themeColor="accent6" w:themeShade="80"/>
        </w:rPr>
        <w:fldChar w:fldCharType="begin"/>
      </w:r>
      <w:r w:rsidR="003D774B" w:rsidRPr="005E2F84">
        <w:rPr>
          <w:rFonts w:asciiTheme="minorHAnsi" w:hAnsiTheme="minorHAnsi"/>
          <w:b w:val="0"/>
          <w:bCs w:val="0"/>
          <w:color w:val="385623" w:themeColor="accent6" w:themeShade="80"/>
        </w:rPr>
        <w:instrText xml:space="preserve"> SEQ Tabulka \* ARABIC </w:instrText>
      </w:r>
      <w:r w:rsidR="003D774B"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11</w:t>
      </w:r>
      <w:r w:rsidR="003D774B" w:rsidRPr="005E2F84">
        <w:rPr>
          <w:rFonts w:asciiTheme="minorHAnsi" w:hAnsiTheme="minorHAnsi"/>
          <w:b w:val="0"/>
          <w:bCs w:val="0"/>
          <w:noProof/>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Predikce počtu veřejných dobíjecích bodů ve středním scénáři rozvoje elektromobility</w:t>
      </w:r>
    </w:p>
    <w:tbl>
      <w:tblPr>
        <w:tblW w:w="90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2973"/>
        <w:gridCol w:w="1217"/>
        <w:gridCol w:w="1118"/>
        <w:gridCol w:w="1221"/>
        <w:gridCol w:w="1327"/>
        <w:gridCol w:w="1206"/>
      </w:tblGrid>
      <w:tr w:rsidR="00A347AF" w:rsidRPr="00B07D79" w14:paraId="76278CC0" w14:textId="77777777" w:rsidTr="005E2F84">
        <w:trPr>
          <w:trHeight w:val="510"/>
        </w:trPr>
        <w:tc>
          <w:tcPr>
            <w:tcW w:w="2973" w:type="dxa"/>
            <w:shd w:val="clear" w:color="auto" w:fill="70AD47" w:themeFill="accent6"/>
            <w:noWrap/>
            <w:vAlign w:val="center"/>
            <w:hideMark/>
          </w:tcPr>
          <w:p w14:paraId="65A37DD5" w14:textId="5B5C45BB" w:rsidR="00A347AF" w:rsidRPr="005E2F84" w:rsidRDefault="00A347AF" w:rsidP="00B07D79">
            <w:pPr>
              <w:spacing w:line="276" w:lineRule="auto"/>
              <w:jc w:val="both"/>
              <w:rPr>
                <w:rFonts w:asciiTheme="minorHAnsi" w:hAnsiTheme="minorHAnsi"/>
              </w:rPr>
            </w:pPr>
            <w:bookmarkStart w:id="317" w:name="_Hlk162446648"/>
            <w:r w:rsidRPr="005E2F84">
              <w:rPr>
                <w:rFonts w:asciiTheme="minorHAnsi" w:hAnsiTheme="minorHAnsi"/>
              </w:rPr>
              <w:t>Střední scénář</w:t>
            </w:r>
          </w:p>
        </w:tc>
        <w:tc>
          <w:tcPr>
            <w:tcW w:w="1217" w:type="dxa"/>
            <w:shd w:val="clear" w:color="auto" w:fill="70AD47" w:themeFill="accent6"/>
            <w:vAlign w:val="center"/>
          </w:tcPr>
          <w:p w14:paraId="4C1F38B5" w14:textId="21051BD3" w:rsidR="00A347AF" w:rsidRPr="005E2F84" w:rsidRDefault="00A347AF" w:rsidP="00B07D79">
            <w:pPr>
              <w:spacing w:line="276" w:lineRule="auto"/>
              <w:jc w:val="both"/>
              <w:rPr>
                <w:rFonts w:asciiTheme="minorHAnsi" w:hAnsiTheme="minorHAnsi"/>
              </w:rPr>
            </w:pPr>
            <w:r w:rsidRPr="005E2F84">
              <w:rPr>
                <w:rFonts w:asciiTheme="minorHAnsi" w:hAnsiTheme="minorHAnsi"/>
              </w:rPr>
              <w:t>2025</w:t>
            </w:r>
          </w:p>
        </w:tc>
        <w:tc>
          <w:tcPr>
            <w:tcW w:w="1118" w:type="dxa"/>
            <w:shd w:val="clear" w:color="auto" w:fill="70AD47" w:themeFill="accent6"/>
            <w:vAlign w:val="center"/>
          </w:tcPr>
          <w:p w14:paraId="64CF59E8" w14:textId="61A65D1D" w:rsidR="00A347AF" w:rsidRPr="005E2F84" w:rsidRDefault="00A347AF" w:rsidP="00B07D79">
            <w:pPr>
              <w:spacing w:line="276" w:lineRule="auto"/>
              <w:jc w:val="both"/>
              <w:rPr>
                <w:rFonts w:asciiTheme="minorHAnsi" w:hAnsiTheme="minorHAnsi"/>
              </w:rPr>
            </w:pPr>
            <w:r w:rsidRPr="005E2F84">
              <w:rPr>
                <w:rFonts w:asciiTheme="minorHAnsi" w:hAnsiTheme="minorHAnsi"/>
              </w:rPr>
              <w:t>2030</w:t>
            </w:r>
          </w:p>
        </w:tc>
        <w:tc>
          <w:tcPr>
            <w:tcW w:w="1221" w:type="dxa"/>
            <w:shd w:val="clear" w:color="auto" w:fill="70AD47" w:themeFill="accent6"/>
            <w:vAlign w:val="center"/>
          </w:tcPr>
          <w:p w14:paraId="01B9178A" w14:textId="4D694694" w:rsidR="00A347AF" w:rsidRPr="005E2F84" w:rsidRDefault="00A347AF" w:rsidP="00B07D79">
            <w:pPr>
              <w:spacing w:line="276" w:lineRule="auto"/>
              <w:jc w:val="both"/>
              <w:rPr>
                <w:rFonts w:asciiTheme="minorHAnsi" w:hAnsiTheme="minorHAnsi"/>
              </w:rPr>
            </w:pPr>
            <w:r w:rsidRPr="005E2F84">
              <w:rPr>
                <w:rFonts w:asciiTheme="minorHAnsi" w:hAnsiTheme="minorHAnsi"/>
              </w:rPr>
              <w:t>2035</w:t>
            </w:r>
          </w:p>
        </w:tc>
        <w:tc>
          <w:tcPr>
            <w:tcW w:w="1327" w:type="dxa"/>
            <w:shd w:val="clear" w:color="auto" w:fill="70AD47" w:themeFill="accent6"/>
            <w:vAlign w:val="center"/>
          </w:tcPr>
          <w:p w14:paraId="34C8BF15" w14:textId="23F3A137" w:rsidR="00A347AF" w:rsidRPr="005E2F84" w:rsidRDefault="00A347AF" w:rsidP="00B07D79">
            <w:pPr>
              <w:spacing w:line="276" w:lineRule="auto"/>
              <w:jc w:val="both"/>
              <w:rPr>
                <w:rFonts w:asciiTheme="minorHAnsi" w:hAnsiTheme="minorHAnsi"/>
              </w:rPr>
            </w:pPr>
            <w:r w:rsidRPr="005E2F84">
              <w:rPr>
                <w:rFonts w:asciiTheme="minorHAnsi" w:hAnsiTheme="minorHAnsi"/>
              </w:rPr>
              <w:t>2040</w:t>
            </w:r>
          </w:p>
        </w:tc>
        <w:tc>
          <w:tcPr>
            <w:tcW w:w="1206" w:type="dxa"/>
            <w:shd w:val="clear" w:color="auto" w:fill="70AD47" w:themeFill="accent6"/>
            <w:vAlign w:val="center"/>
          </w:tcPr>
          <w:p w14:paraId="14575A15" w14:textId="1C7F0458" w:rsidR="00A347AF" w:rsidRPr="005E2F84" w:rsidRDefault="00A347AF" w:rsidP="00B07D79">
            <w:pPr>
              <w:spacing w:line="276" w:lineRule="auto"/>
              <w:jc w:val="both"/>
              <w:rPr>
                <w:rFonts w:asciiTheme="minorHAnsi" w:hAnsiTheme="minorHAnsi"/>
              </w:rPr>
            </w:pPr>
            <w:r w:rsidRPr="005E2F84">
              <w:rPr>
                <w:rFonts w:asciiTheme="minorHAnsi" w:hAnsiTheme="minorHAnsi"/>
              </w:rPr>
              <w:t>204</w:t>
            </w:r>
            <w:r w:rsidR="00854888" w:rsidRPr="005E2F84">
              <w:rPr>
                <w:rFonts w:asciiTheme="minorHAnsi" w:hAnsiTheme="minorHAnsi"/>
              </w:rPr>
              <w:t>5</w:t>
            </w:r>
          </w:p>
        </w:tc>
      </w:tr>
      <w:tr w:rsidR="00A347AF" w:rsidRPr="00B07D79" w14:paraId="12F4C7EF" w14:textId="77777777" w:rsidTr="005E2F84">
        <w:trPr>
          <w:trHeight w:val="442"/>
        </w:trPr>
        <w:tc>
          <w:tcPr>
            <w:tcW w:w="2973" w:type="dxa"/>
            <w:shd w:val="clear" w:color="auto" w:fill="A8D08D" w:themeFill="accent6" w:themeFillTint="99"/>
            <w:vAlign w:val="center"/>
          </w:tcPr>
          <w:p w14:paraId="664F99A2" w14:textId="6084A6CA" w:rsidR="00A347AF" w:rsidRPr="00B07D79" w:rsidRDefault="00A347AF" w:rsidP="00B07D79">
            <w:pPr>
              <w:spacing w:line="276" w:lineRule="auto"/>
              <w:jc w:val="both"/>
              <w:rPr>
                <w:rFonts w:asciiTheme="minorHAnsi" w:hAnsiTheme="minorHAnsi"/>
              </w:rPr>
            </w:pPr>
            <w:r w:rsidRPr="00B07D79">
              <w:rPr>
                <w:rFonts w:asciiTheme="minorHAnsi" w:hAnsiTheme="minorHAnsi"/>
              </w:rPr>
              <w:t>11 kW</w:t>
            </w:r>
          </w:p>
        </w:tc>
        <w:tc>
          <w:tcPr>
            <w:tcW w:w="1217" w:type="dxa"/>
            <w:shd w:val="clear" w:color="auto" w:fill="A8D08D" w:themeFill="accent6" w:themeFillTint="99"/>
            <w:vAlign w:val="center"/>
          </w:tcPr>
          <w:p w14:paraId="16C5CDAC" w14:textId="1E58296E" w:rsidR="00A347AF" w:rsidRPr="00B07D79" w:rsidRDefault="00A347AF" w:rsidP="00B07D79">
            <w:pPr>
              <w:spacing w:line="276" w:lineRule="auto"/>
              <w:jc w:val="both"/>
              <w:rPr>
                <w:rFonts w:asciiTheme="minorHAnsi" w:hAnsiTheme="minorHAnsi"/>
              </w:rPr>
            </w:pPr>
            <w:r w:rsidRPr="00B07D79">
              <w:rPr>
                <w:rFonts w:asciiTheme="minorHAnsi" w:hAnsiTheme="minorHAnsi"/>
              </w:rPr>
              <w:t>1 109</w:t>
            </w:r>
          </w:p>
        </w:tc>
        <w:tc>
          <w:tcPr>
            <w:tcW w:w="1118" w:type="dxa"/>
            <w:shd w:val="clear" w:color="auto" w:fill="A8D08D" w:themeFill="accent6" w:themeFillTint="99"/>
            <w:vAlign w:val="center"/>
          </w:tcPr>
          <w:p w14:paraId="3D6FEF97" w14:textId="39622FF1" w:rsidR="00A347AF" w:rsidRPr="00B07D79" w:rsidRDefault="00A347AF" w:rsidP="00B07D79">
            <w:pPr>
              <w:spacing w:line="276" w:lineRule="auto"/>
              <w:jc w:val="both"/>
              <w:rPr>
                <w:rFonts w:asciiTheme="minorHAnsi" w:hAnsiTheme="minorHAnsi"/>
              </w:rPr>
            </w:pPr>
            <w:r w:rsidRPr="00B07D79">
              <w:rPr>
                <w:rFonts w:asciiTheme="minorHAnsi" w:hAnsiTheme="minorHAnsi"/>
              </w:rPr>
              <w:t>1107</w:t>
            </w:r>
          </w:p>
        </w:tc>
        <w:tc>
          <w:tcPr>
            <w:tcW w:w="1221" w:type="dxa"/>
            <w:shd w:val="clear" w:color="auto" w:fill="A8D08D" w:themeFill="accent6" w:themeFillTint="99"/>
            <w:vAlign w:val="center"/>
          </w:tcPr>
          <w:p w14:paraId="0A473EDD" w14:textId="0B2A6750" w:rsidR="00A347AF" w:rsidRPr="00B07D79" w:rsidRDefault="00A347AF" w:rsidP="00B07D79">
            <w:pPr>
              <w:spacing w:line="276" w:lineRule="auto"/>
              <w:jc w:val="both"/>
              <w:rPr>
                <w:rFonts w:asciiTheme="minorHAnsi" w:hAnsiTheme="minorHAnsi"/>
              </w:rPr>
            </w:pPr>
            <w:r w:rsidRPr="00B07D79">
              <w:rPr>
                <w:rFonts w:asciiTheme="minorHAnsi" w:hAnsiTheme="minorHAnsi"/>
              </w:rPr>
              <w:t>3 569</w:t>
            </w:r>
          </w:p>
        </w:tc>
        <w:tc>
          <w:tcPr>
            <w:tcW w:w="1327" w:type="dxa"/>
            <w:shd w:val="clear" w:color="auto" w:fill="A8D08D" w:themeFill="accent6" w:themeFillTint="99"/>
            <w:vAlign w:val="center"/>
          </w:tcPr>
          <w:p w14:paraId="6A4350F1" w14:textId="473C4594" w:rsidR="00A347AF" w:rsidRPr="00B07D79" w:rsidRDefault="00A347AF" w:rsidP="00B07D79">
            <w:pPr>
              <w:spacing w:line="276" w:lineRule="auto"/>
              <w:jc w:val="both"/>
              <w:rPr>
                <w:rFonts w:asciiTheme="minorHAnsi" w:hAnsiTheme="minorHAnsi"/>
              </w:rPr>
            </w:pPr>
            <w:r w:rsidRPr="00B07D79">
              <w:rPr>
                <w:rFonts w:asciiTheme="minorHAnsi" w:hAnsiTheme="minorHAnsi"/>
              </w:rPr>
              <w:t>7 978</w:t>
            </w:r>
          </w:p>
        </w:tc>
        <w:tc>
          <w:tcPr>
            <w:tcW w:w="1206" w:type="dxa"/>
            <w:shd w:val="clear" w:color="auto" w:fill="A8D08D" w:themeFill="accent6" w:themeFillTint="99"/>
            <w:vAlign w:val="center"/>
          </w:tcPr>
          <w:p w14:paraId="33851148" w14:textId="640A785D" w:rsidR="00A347AF" w:rsidRPr="00B07D79" w:rsidRDefault="00A347AF" w:rsidP="00B07D79">
            <w:pPr>
              <w:spacing w:line="276" w:lineRule="auto"/>
              <w:jc w:val="both"/>
              <w:rPr>
                <w:rFonts w:asciiTheme="minorHAnsi" w:hAnsiTheme="minorHAnsi"/>
              </w:rPr>
            </w:pPr>
            <w:r w:rsidRPr="00B07D79">
              <w:rPr>
                <w:rFonts w:asciiTheme="minorHAnsi" w:hAnsiTheme="minorHAnsi"/>
              </w:rPr>
              <w:t>14 291</w:t>
            </w:r>
          </w:p>
        </w:tc>
      </w:tr>
      <w:tr w:rsidR="00A347AF" w:rsidRPr="00B07D79" w14:paraId="509E2780" w14:textId="77777777" w:rsidTr="005E2F84">
        <w:trPr>
          <w:trHeight w:val="442"/>
        </w:trPr>
        <w:tc>
          <w:tcPr>
            <w:tcW w:w="2973" w:type="dxa"/>
            <w:shd w:val="clear" w:color="auto" w:fill="A8D08D" w:themeFill="accent6" w:themeFillTint="99"/>
            <w:vAlign w:val="center"/>
          </w:tcPr>
          <w:p w14:paraId="53A6C7F5" w14:textId="0793435A" w:rsidR="00A347AF" w:rsidRPr="00B07D79" w:rsidRDefault="00A347AF" w:rsidP="00B07D79">
            <w:pPr>
              <w:spacing w:line="276" w:lineRule="auto"/>
              <w:jc w:val="both"/>
              <w:rPr>
                <w:rFonts w:asciiTheme="minorHAnsi" w:hAnsiTheme="minorHAnsi"/>
              </w:rPr>
            </w:pPr>
            <w:r w:rsidRPr="00B07D79">
              <w:rPr>
                <w:rFonts w:asciiTheme="minorHAnsi" w:hAnsiTheme="minorHAnsi"/>
              </w:rPr>
              <w:t xml:space="preserve">22 </w:t>
            </w:r>
            <w:r w:rsidR="00FA7F80" w:rsidRPr="00B07D79">
              <w:rPr>
                <w:rFonts w:asciiTheme="minorHAnsi" w:hAnsiTheme="minorHAnsi"/>
              </w:rPr>
              <w:t>k</w:t>
            </w:r>
            <w:r w:rsidRPr="00B07D79">
              <w:rPr>
                <w:rFonts w:asciiTheme="minorHAnsi" w:hAnsiTheme="minorHAnsi"/>
              </w:rPr>
              <w:t>W</w:t>
            </w:r>
          </w:p>
        </w:tc>
        <w:tc>
          <w:tcPr>
            <w:tcW w:w="1217" w:type="dxa"/>
            <w:shd w:val="clear" w:color="auto" w:fill="A8D08D" w:themeFill="accent6" w:themeFillTint="99"/>
            <w:vAlign w:val="center"/>
          </w:tcPr>
          <w:p w14:paraId="4051DB52" w14:textId="3D160A8F" w:rsidR="00A347AF" w:rsidRPr="00B07D79" w:rsidRDefault="00A347AF" w:rsidP="00B07D79">
            <w:pPr>
              <w:spacing w:line="276" w:lineRule="auto"/>
              <w:jc w:val="both"/>
              <w:rPr>
                <w:rFonts w:asciiTheme="minorHAnsi" w:hAnsiTheme="minorHAnsi"/>
              </w:rPr>
            </w:pPr>
            <w:r w:rsidRPr="00B07D79">
              <w:rPr>
                <w:rFonts w:asciiTheme="minorHAnsi" w:hAnsiTheme="minorHAnsi"/>
              </w:rPr>
              <w:t xml:space="preserve"> 3 586</w:t>
            </w:r>
          </w:p>
        </w:tc>
        <w:tc>
          <w:tcPr>
            <w:tcW w:w="1118" w:type="dxa"/>
            <w:shd w:val="clear" w:color="auto" w:fill="A8D08D" w:themeFill="accent6" w:themeFillTint="99"/>
            <w:vAlign w:val="center"/>
          </w:tcPr>
          <w:p w14:paraId="1F57A00C" w14:textId="65D88ED1" w:rsidR="00A347AF" w:rsidRPr="00B07D79" w:rsidRDefault="00A347AF" w:rsidP="00B07D79">
            <w:pPr>
              <w:spacing w:line="276" w:lineRule="auto"/>
              <w:jc w:val="both"/>
              <w:rPr>
                <w:rFonts w:asciiTheme="minorHAnsi" w:hAnsiTheme="minorHAnsi"/>
              </w:rPr>
            </w:pPr>
            <w:r w:rsidRPr="00B07D79">
              <w:rPr>
                <w:rFonts w:asciiTheme="minorHAnsi" w:hAnsiTheme="minorHAnsi"/>
              </w:rPr>
              <w:t>15 714</w:t>
            </w:r>
          </w:p>
        </w:tc>
        <w:tc>
          <w:tcPr>
            <w:tcW w:w="1221" w:type="dxa"/>
            <w:shd w:val="clear" w:color="auto" w:fill="A8D08D" w:themeFill="accent6" w:themeFillTint="99"/>
            <w:vAlign w:val="center"/>
          </w:tcPr>
          <w:p w14:paraId="7FA3BC3B" w14:textId="118F5EDD" w:rsidR="00A347AF" w:rsidRPr="00B07D79" w:rsidRDefault="00A347AF" w:rsidP="00B07D79">
            <w:pPr>
              <w:spacing w:line="276" w:lineRule="auto"/>
              <w:jc w:val="both"/>
              <w:rPr>
                <w:rFonts w:asciiTheme="minorHAnsi" w:hAnsiTheme="minorHAnsi"/>
              </w:rPr>
            </w:pPr>
            <w:r w:rsidRPr="00B07D79">
              <w:rPr>
                <w:rFonts w:asciiTheme="minorHAnsi" w:hAnsiTheme="minorHAnsi"/>
              </w:rPr>
              <w:t xml:space="preserve">50 737  </w:t>
            </w:r>
          </w:p>
        </w:tc>
        <w:tc>
          <w:tcPr>
            <w:tcW w:w="1327" w:type="dxa"/>
            <w:shd w:val="clear" w:color="auto" w:fill="A8D08D" w:themeFill="accent6" w:themeFillTint="99"/>
            <w:vAlign w:val="center"/>
          </w:tcPr>
          <w:p w14:paraId="47791566" w14:textId="25CEA462" w:rsidR="00A347AF" w:rsidRPr="00B07D79" w:rsidRDefault="00A347AF" w:rsidP="00B07D79">
            <w:pPr>
              <w:spacing w:line="276" w:lineRule="auto"/>
              <w:jc w:val="both"/>
              <w:rPr>
                <w:rFonts w:asciiTheme="minorHAnsi" w:hAnsiTheme="minorHAnsi"/>
              </w:rPr>
            </w:pPr>
            <w:r w:rsidRPr="00B07D79">
              <w:rPr>
                <w:rFonts w:asciiTheme="minorHAnsi" w:hAnsiTheme="minorHAnsi"/>
              </w:rPr>
              <w:t>127 278</w:t>
            </w:r>
          </w:p>
        </w:tc>
        <w:tc>
          <w:tcPr>
            <w:tcW w:w="1206" w:type="dxa"/>
            <w:shd w:val="clear" w:color="auto" w:fill="A8D08D" w:themeFill="accent6" w:themeFillTint="99"/>
            <w:vAlign w:val="center"/>
          </w:tcPr>
          <w:p w14:paraId="0B36CE89" w14:textId="6EB390E3" w:rsidR="00A347AF" w:rsidRPr="00B07D79" w:rsidRDefault="00A347AF" w:rsidP="00B07D79">
            <w:pPr>
              <w:spacing w:line="276" w:lineRule="auto"/>
              <w:jc w:val="both"/>
              <w:rPr>
                <w:rFonts w:asciiTheme="minorHAnsi" w:hAnsiTheme="minorHAnsi"/>
              </w:rPr>
            </w:pPr>
            <w:r w:rsidRPr="00B07D79">
              <w:rPr>
                <w:rFonts w:asciiTheme="minorHAnsi" w:hAnsiTheme="minorHAnsi"/>
              </w:rPr>
              <w:t>227 993</w:t>
            </w:r>
          </w:p>
        </w:tc>
      </w:tr>
      <w:tr w:rsidR="00A347AF" w:rsidRPr="00B07D79" w14:paraId="465CBE58" w14:textId="77777777" w:rsidTr="005E2F84">
        <w:trPr>
          <w:trHeight w:val="442"/>
        </w:trPr>
        <w:tc>
          <w:tcPr>
            <w:tcW w:w="2973" w:type="dxa"/>
            <w:shd w:val="clear" w:color="auto" w:fill="A8D08D" w:themeFill="accent6" w:themeFillTint="99"/>
            <w:vAlign w:val="center"/>
          </w:tcPr>
          <w:p w14:paraId="0336C45A" w14:textId="3C202383" w:rsidR="00A347AF" w:rsidRPr="00B07D79" w:rsidRDefault="00A347AF" w:rsidP="00B07D79">
            <w:pPr>
              <w:spacing w:line="276" w:lineRule="auto"/>
              <w:jc w:val="both"/>
              <w:rPr>
                <w:rFonts w:asciiTheme="minorHAnsi" w:hAnsiTheme="minorHAnsi"/>
              </w:rPr>
            </w:pPr>
            <w:r w:rsidRPr="00B07D79">
              <w:rPr>
                <w:rFonts w:asciiTheme="minorHAnsi" w:hAnsiTheme="minorHAnsi"/>
              </w:rPr>
              <w:t>50-149 kW</w:t>
            </w:r>
          </w:p>
        </w:tc>
        <w:tc>
          <w:tcPr>
            <w:tcW w:w="1217" w:type="dxa"/>
            <w:shd w:val="clear" w:color="auto" w:fill="A8D08D" w:themeFill="accent6" w:themeFillTint="99"/>
            <w:vAlign w:val="center"/>
          </w:tcPr>
          <w:p w14:paraId="6717697D" w14:textId="2A92D3BC" w:rsidR="00A347AF" w:rsidRPr="00B07D79" w:rsidRDefault="00A347AF" w:rsidP="00B07D79">
            <w:pPr>
              <w:spacing w:line="276" w:lineRule="auto"/>
              <w:jc w:val="both"/>
              <w:rPr>
                <w:rFonts w:asciiTheme="minorHAnsi" w:hAnsiTheme="minorHAnsi"/>
              </w:rPr>
            </w:pPr>
            <w:r w:rsidRPr="00B07D79">
              <w:rPr>
                <w:rFonts w:asciiTheme="minorHAnsi" w:hAnsiTheme="minorHAnsi"/>
              </w:rPr>
              <w:t>128</w:t>
            </w:r>
          </w:p>
        </w:tc>
        <w:tc>
          <w:tcPr>
            <w:tcW w:w="1118" w:type="dxa"/>
            <w:shd w:val="clear" w:color="auto" w:fill="A8D08D" w:themeFill="accent6" w:themeFillTint="99"/>
            <w:vAlign w:val="center"/>
          </w:tcPr>
          <w:p w14:paraId="0836D47B" w14:textId="512319D1" w:rsidR="00A347AF" w:rsidRPr="00B07D79" w:rsidRDefault="00A347AF" w:rsidP="00B07D79">
            <w:pPr>
              <w:spacing w:line="276" w:lineRule="auto"/>
              <w:jc w:val="both"/>
              <w:rPr>
                <w:rFonts w:asciiTheme="minorHAnsi" w:hAnsiTheme="minorHAnsi"/>
              </w:rPr>
            </w:pPr>
            <w:r w:rsidRPr="00B07D79">
              <w:rPr>
                <w:rFonts w:asciiTheme="minorHAnsi" w:hAnsiTheme="minorHAnsi"/>
              </w:rPr>
              <w:t>453</w:t>
            </w:r>
          </w:p>
        </w:tc>
        <w:tc>
          <w:tcPr>
            <w:tcW w:w="1221" w:type="dxa"/>
            <w:shd w:val="clear" w:color="auto" w:fill="A8D08D" w:themeFill="accent6" w:themeFillTint="99"/>
            <w:vAlign w:val="center"/>
          </w:tcPr>
          <w:p w14:paraId="3A8224A9" w14:textId="06C758BB" w:rsidR="00A347AF" w:rsidRPr="00B07D79" w:rsidRDefault="00A347AF" w:rsidP="00B07D79">
            <w:pPr>
              <w:spacing w:line="276" w:lineRule="auto"/>
              <w:jc w:val="both"/>
              <w:rPr>
                <w:rFonts w:asciiTheme="minorHAnsi" w:hAnsiTheme="minorHAnsi"/>
              </w:rPr>
            </w:pPr>
            <w:r w:rsidRPr="00B07D79">
              <w:rPr>
                <w:rFonts w:asciiTheme="minorHAnsi" w:hAnsiTheme="minorHAnsi"/>
              </w:rPr>
              <w:t>1 229</w:t>
            </w:r>
          </w:p>
        </w:tc>
        <w:tc>
          <w:tcPr>
            <w:tcW w:w="1327" w:type="dxa"/>
            <w:shd w:val="clear" w:color="auto" w:fill="A8D08D" w:themeFill="accent6" w:themeFillTint="99"/>
            <w:vAlign w:val="center"/>
          </w:tcPr>
          <w:p w14:paraId="2DC54728" w14:textId="5016DE50" w:rsidR="00A347AF" w:rsidRPr="00B07D79" w:rsidRDefault="00A347AF" w:rsidP="00B07D79">
            <w:pPr>
              <w:spacing w:line="276" w:lineRule="auto"/>
              <w:jc w:val="both"/>
              <w:rPr>
                <w:rFonts w:asciiTheme="minorHAnsi" w:hAnsiTheme="minorHAnsi"/>
              </w:rPr>
            </w:pPr>
            <w:r w:rsidRPr="00B07D79">
              <w:rPr>
                <w:rFonts w:asciiTheme="minorHAnsi" w:hAnsiTheme="minorHAnsi"/>
              </w:rPr>
              <w:t>1 903</w:t>
            </w:r>
          </w:p>
        </w:tc>
        <w:tc>
          <w:tcPr>
            <w:tcW w:w="1206" w:type="dxa"/>
            <w:shd w:val="clear" w:color="auto" w:fill="A8D08D" w:themeFill="accent6" w:themeFillTint="99"/>
            <w:vAlign w:val="center"/>
          </w:tcPr>
          <w:p w14:paraId="04478242" w14:textId="04B91FD4" w:rsidR="00A347AF" w:rsidRPr="00B07D79" w:rsidRDefault="00A347AF" w:rsidP="00B07D79">
            <w:pPr>
              <w:spacing w:line="276" w:lineRule="auto"/>
              <w:jc w:val="both"/>
              <w:rPr>
                <w:rFonts w:asciiTheme="minorHAnsi" w:hAnsiTheme="minorHAnsi"/>
              </w:rPr>
            </w:pPr>
            <w:r w:rsidRPr="00B07D79">
              <w:rPr>
                <w:rFonts w:asciiTheme="minorHAnsi" w:hAnsiTheme="minorHAnsi"/>
              </w:rPr>
              <w:t>3 371</w:t>
            </w:r>
          </w:p>
        </w:tc>
      </w:tr>
      <w:tr w:rsidR="00A347AF" w:rsidRPr="00B07D79" w14:paraId="3C2E54DD" w14:textId="77777777" w:rsidTr="005E2F84">
        <w:trPr>
          <w:trHeight w:val="442"/>
        </w:trPr>
        <w:tc>
          <w:tcPr>
            <w:tcW w:w="2973" w:type="dxa"/>
            <w:shd w:val="clear" w:color="auto" w:fill="A8D08D" w:themeFill="accent6" w:themeFillTint="99"/>
            <w:vAlign w:val="center"/>
          </w:tcPr>
          <w:p w14:paraId="5E470F90" w14:textId="43B9DBF7" w:rsidR="00A347AF" w:rsidRPr="00B07D79" w:rsidRDefault="00A347AF" w:rsidP="00B07D79">
            <w:pPr>
              <w:spacing w:line="276" w:lineRule="auto"/>
              <w:jc w:val="both"/>
              <w:rPr>
                <w:rFonts w:asciiTheme="minorHAnsi" w:hAnsiTheme="minorHAnsi"/>
              </w:rPr>
            </w:pPr>
            <w:r w:rsidRPr="00B07D79">
              <w:rPr>
                <w:rFonts w:asciiTheme="minorHAnsi" w:hAnsiTheme="minorHAnsi"/>
              </w:rPr>
              <w:t>150-349 kW</w:t>
            </w:r>
          </w:p>
        </w:tc>
        <w:tc>
          <w:tcPr>
            <w:tcW w:w="1217" w:type="dxa"/>
            <w:shd w:val="clear" w:color="auto" w:fill="A8D08D" w:themeFill="accent6" w:themeFillTint="99"/>
            <w:vAlign w:val="center"/>
          </w:tcPr>
          <w:p w14:paraId="672CFA2D" w14:textId="158D4B5F" w:rsidR="00A347AF" w:rsidRPr="00B07D79" w:rsidRDefault="00A347AF" w:rsidP="00B07D79">
            <w:pPr>
              <w:spacing w:line="276" w:lineRule="auto"/>
              <w:jc w:val="both"/>
              <w:rPr>
                <w:rFonts w:asciiTheme="minorHAnsi" w:hAnsiTheme="minorHAnsi"/>
              </w:rPr>
            </w:pPr>
            <w:r w:rsidRPr="00B07D79">
              <w:rPr>
                <w:rFonts w:asciiTheme="minorHAnsi" w:hAnsiTheme="minorHAnsi"/>
              </w:rPr>
              <w:t>44</w:t>
            </w:r>
          </w:p>
        </w:tc>
        <w:tc>
          <w:tcPr>
            <w:tcW w:w="1118" w:type="dxa"/>
            <w:shd w:val="clear" w:color="auto" w:fill="A8D08D" w:themeFill="accent6" w:themeFillTint="99"/>
            <w:vAlign w:val="center"/>
          </w:tcPr>
          <w:p w14:paraId="43867BA5" w14:textId="6DA9061A" w:rsidR="00A347AF" w:rsidRPr="00B07D79" w:rsidRDefault="00A347AF" w:rsidP="00B07D79">
            <w:pPr>
              <w:spacing w:line="276" w:lineRule="auto"/>
              <w:jc w:val="both"/>
              <w:rPr>
                <w:rFonts w:asciiTheme="minorHAnsi" w:hAnsiTheme="minorHAnsi"/>
              </w:rPr>
            </w:pPr>
            <w:r w:rsidRPr="00B07D79">
              <w:rPr>
                <w:rFonts w:asciiTheme="minorHAnsi" w:hAnsiTheme="minorHAnsi"/>
              </w:rPr>
              <w:t>267</w:t>
            </w:r>
          </w:p>
        </w:tc>
        <w:tc>
          <w:tcPr>
            <w:tcW w:w="1221" w:type="dxa"/>
            <w:shd w:val="clear" w:color="auto" w:fill="A8D08D" w:themeFill="accent6" w:themeFillTint="99"/>
            <w:vAlign w:val="center"/>
          </w:tcPr>
          <w:p w14:paraId="194246FB" w14:textId="7122B4EA" w:rsidR="00A347AF" w:rsidRPr="00B07D79" w:rsidRDefault="00A347AF" w:rsidP="00B07D79">
            <w:pPr>
              <w:spacing w:line="276" w:lineRule="auto"/>
              <w:jc w:val="both"/>
              <w:rPr>
                <w:rFonts w:asciiTheme="minorHAnsi" w:hAnsiTheme="minorHAnsi"/>
              </w:rPr>
            </w:pPr>
            <w:r w:rsidRPr="00B07D79">
              <w:rPr>
                <w:rFonts w:asciiTheme="minorHAnsi" w:hAnsiTheme="minorHAnsi"/>
              </w:rPr>
              <w:t>945</w:t>
            </w:r>
          </w:p>
        </w:tc>
        <w:tc>
          <w:tcPr>
            <w:tcW w:w="1327" w:type="dxa"/>
            <w:shd w:val="clear" w:color="auto" w:fill="A8D08D" w:themeFill="accent6" w:themeFillTint="99"/>
            <w:vAlign w:val="center"/>
          </w:tcPr>
          <w:p w14:paraId="1EA9BD17" w14:textId="33810E39" w:rsidR="00A347AF" w:rsidRPr="00B07D79" w:rsidRDefault="00A347AF" w:rsidP="00B07D79">
            <w:pPr>
              <w:spacing w:line="276" w:lineRule="auto"/>
              <w:jc w:val="both"/>
              <w:rPr>
                <w:rFonts w:asciiTheme="minorHAnsi" w:hAnsiTheme="minorHAnsi"/>
              </w:rPr>
            </w:pPr>
            <w:r w:rsidRPr="00B07D79">
              <w:rPr>
                <w:rFonts w:asciiTheme="minorHAnsi" w:hAnsiTheme="minorHAnsi"/>
              </w:rPr>
              <w:t>2 500</w:t>
            </w:r>
          </w:p>
        </w:tc>
        <w:tc>
          <w:tcPr>
            <w:tcW w:w="1206" w:type="dxa"/>
            <w:shd w:val="clear" w:color="auto" w:fill="A8D08D" w:themeFill="accent6" w:themeFillTint="99"/>
            <w:vAlign w:val="center"/>
          </w:tcPr>
          <w:p w14:paraId="70C7CDC8" w14:textId="01697E8B" w:rsidR="00A347AF" w:rsidRPr="00B07D79" w:rsidRDefault="00A347AF" w:rsidP="00B07D79">
            <w:pPr>
              <w:spacing w:line="276" w:lineRule="auto"/>
              <w:jc w:val="both"/>
              <w:rPr>
                <w:rFonts w:asciiTheme="minorHAnsi" w:hAnsiTheme="minorHAnsi"/>
              </w:rPr>
            </w:pPr>
            <w:r w:rsidRPr="00B07D79">
              <w:rPr>
                <w:rFonts w:asciiTheme="minorHAnsi" w:hAnsiTheme="minorHAnsi"/>
              </w:rPr>
              <w:t>4 642</w:t>
            </w:r>
          </w:p>
        </w:tc>
      </w:tr>
      <w:tr w:rsidR="00A347AF" w:rsidRPr="00B07D79" w14:paraId="3F0874AF" w14:textId="77777777" w:rsidTr="005E2F84">
        <w:trPr>
          <w:trHeight w:val="442"/>
        </w:trPr>
        <w:tc>
          <w:tcPr>
            <w:tcW w:w="2973" w:type="dxa"/>
            <w:shd w:val="clear" w:color="auto" w:fill="A8D08D" w:themeFill="accent6" w:themeFillTint="99"/>
            <w:vAlign w:val="center"/>
          </w:tcPr>
          <w:p w14:paraId="41C2B94E" w14:textId="03C7B3FD" w:rsidR="00A347AF" w:rsidRPr="00B07D79" w:rsidRDefault="00A347AF" w:rsidP="00B07D79">
            <w:pPr>
              <w:spacing w:line="276" w:lineRule="auto"/>
              <w:jc w:val="both"/>
              <w:rPr>
                <w:rFonts w:asciiTheme="minorHAnsi" w:hAnsiTheme="minorHAnsi"/>
              </w:rPr>
            </w:pPr>
            <w:r w:rsidRPr="00B07D79">
              <w:rPr>
                <w:rFonts w:asciiTheme="minorHAnsi" w:hAnsiTheme="minorHAnsi"/>
              </w:rPr>
              <w:t>350+ kW</w:t>
            </w:r>
          </w:p>
        </w:tc>
        <w:tc>
          <w:tcPr>
            <w:tcW w:w="1217" w:type="dxa"/>
            <w:shd w:val="clear" w:color="auto" w:fill="A8D08D" w:themeFill="accent6" w:themeFillTint="99"/>
            <w:vAlign w:val="center"/>
          </w:tcPr>
          <w:p w14:paraId="664BC398" w14:textId="71F067DC" w:rsidR="00A347AF" w:rsidRPr="00B07D79" w:rsidRDefault="00A347AF" w:rsidP="00B07D79">
            <w:pPr>
              <w:spacing w:line="276" w:lineRule="auto"/>
              <w:jc w:val="both"/>
              <w:rPr>
                <w:rFonts w:asciiTheme="minorHAnsi" w:hAnsiTheme="minorHAnsi"/>
              </w:rPr>
            </w:pPr>
            <w:r w:rsidRPr="00B07D79">
              <w:rPr>
                <w:rFonts w:asciiTheme="minorHAnsi" w:hAnsiTheme="minorHAnsi"/>
              </w:rPr>
              <w:t>14</w:t>
            </w:r>
          </w:p>
        </w:tc>
        <w:tc>
          <w:tcPr>
            <w:tcW w:w="1118" w:type="dxa"/>
            <w:shd w:val="clear" w:color="auto" w:fill="A8D08D" w:themeFill="accent6" w:themeFillTint="99"/>
            <w:vAlign w:val="center"/>
          </w:tcPr>
          <w:p w14:paraId="039B8B65" w14:textId="143EC3F7" w:rsidR="00A347AF" w:rsidRPr="00B07D79" w:rsidRDefault="00A347AF" w:rsidP="00B07D79">
            <w:pPr>
              <w:spacing w:line="276" w:lineRule="auto"/>
              <w:jc w:val="both"/>
              <w:rPr>
                <w:rFonts w:asciiTheme="minorHAnsi" w:hAnsiTheme="minorHAnsi"/>
              </w:rPr>
            </w:pPr>
            <w:r w:rsidRPr="00B07D79">
              <w:rPr>
                <w:rFonts w:asciiTheme="minorHAnsi" w:hAnsiTheme="minorHAnsi"/>
              </w:rPr>
              <w:t>86</w:t>
            </w:r>
          </w:p>
        </w:tc>
        <w:tc>
          <w:tcPr>
            <w:tcW w:w="1221" w:type="dxa"/>
            <w:shd w:val="clear" w:color="auto" w:fill="A8D08D" w:themeFill="accent6" w:themeFillTint="99"/>
            <w:vAlign w:val="center"/>
          </w:tcPr>
          <w:p w14:paraId="013F47C2" w14:textId="68FAD43C" w:rsidR="00A347AF" w:rsidRPr="00B07D79" w:rsidRDefault="00A347AF" w:rsidP="00B07D79">
            <w:pPr>
              <w:spacing w:line="276" w:lineRule="auto"/>
              <w:jc w:val="both"/>
              <w:rPr>
                <w:rFonts w:asciiTheme="minorHAnsi" w:hAnsiTheme="minorHAnsi"/>
              </w:rPr>
            </w:pPr>
            <w:r w:rsidRPr="00B07D79">
              <w:rPr>
                <w:rFonts w:asciiTheme="minorHAnsi" w:hAnsiTheme="minorHAnsi"/>
              </w:rPr>
              <w:t>335</w:t>
            </w:r>
          </w:p>
        </w:tc>
        <w:tc>
          <w:tcPr>
            <w:tcW w:w="1327" w:type="dxa"/>
            <w:shd w:val="clear" w:color="auto" w:fill="A8D08D" w:themeFill="accent6" w:themeFillTint="99"/>
            <w:vAlign w:val="center"/>
          </w:tcPr>
          <w:p w14:paraId="73B09B70" w14:textId="56EC5BA2" w:rsidR="00A347AF" w:rsidRPr="00B07D79" w:rsidRDefault="00A347AF" w:rsidP="00B07D79">
            <w:pPr>
              <w:spacing w:line="276" w:lineRule="auto"/>
              <w:jc w:val="both"/>
              <w:rPr>
                <w:rFonts w:asciiTheme="minorHAnsi" w:hAnsiTheme="minorHAnsi"/>
              </w:rPr>
            </w:pPr>
            <w:r w:rsidRPr="00B07D79">
              <w:rPr>
                <w:rFonts w:asciiTheme="minorHAnsi" w:hAnsiTheme="minorHAnsi"/>
              </w:rPr>
              <w:t>975</w:t>
            </w:r>
          </w:p>
        </w:tc>
        <w:tc>
          <w:tcPr>
            <w:tcW w:w="1206" w:type="dxa"/>
            <w:shd w:val="clear" w:color="auto" w:fill="A8D08D" w:themeFill="accent6" w:themeFillTint="99"/>
            <w:vAlign w:val="center"/>
          </w:tcPr>
          <w:p w14:paraId="59482035" w14:textId="2F311BF7" w:rsidR="00A347AF" w:rsidRPr="00B07D79" w:rsidRDefault="00A347AF" w:rsidP="00B07D79">
            <w:pPr>
              <w:spacing w:line="276" w:lineRule="auto"/>
              <w:jc w:val="both"/>
              <w:rPr>
                <w:rFonts w:asciiTheme="minorHAnsi" w:hAnsiTheme="minorHAnsi"/>
              </w:rPr>
            </w:pPr>
            <w:r w:rsidRPr="00B07D79">
              <w:rPr>
                <w:rFonts w:asciiTheme="minorHAnsi" w:hAnsiTheme="minorHAnsi"/>
              </w:rPr>
              <w:t>1 979</w:t>
            </w:r>
          </w:p>
        </w:tc>
      </w:tr>
      <w:tr w:rsidR="00A347AF" w:rsidRPr="00B07D79" w14:paraId="23F0F480" w14:textId="77777777" w:rsidTr="005E2F84">
        <w:trPr>
          <w:trHeight w:val="442"/>
        </w:trPr>
        <w:tc>
          <w:tcPr>
            <w:tcW w:w="2973" w:type="dxa"/>
            <w:shd w:val="clear" w:color="auto" w:fill="A8D08D" w:themeFill="accent6" w:themeFillTint="99"/>
            <w:vAlign w:val="center"/>
          </w:tcPr>
          <w:p w14:paraId="0A89945A" w14:textId="50CAC2D0" w:rsidR="00A347AF" w:rsidRPr="00B07D79" w:rsidRDefault="00A347AF" w:rsidP="00B07D79">
            <w:pPr>
              <w:spacing w:line="276" w:lineRule="auto"/>
              <w:jc w:val="both"/>
              <w:rPr>
                <w:rFonts w:asciiTheme="minorHAnsi" w:hAnsiTheme="minorHAnsi"/>
              </w:rPr>
            </w:pPr>
            <w:r w:rsidRPr="00B07D79">
              <w:rPr>
                <w:rFonts w:asciiTheme="minorHAnsi" w:hAnsiTheme="minorHAnsi"/>
              </w:rPr>
              <w:t>1 000+ kW</w:t>
            </w:r>
          </w:p>
        </w:tc>
        <w:tc>
          <w:tcPr>
            <w:tcW w:w="1217" w:type="dxa"/>
            <w:shd w:val="clear" w:color="auto" w:fill="A8D08D" w:themeFill="accent6" w:themeFillTint="99"/>
            <w:vAlign w:val="center"/>
          </w:tcPr>
          <w:p w14:paraId="5B0CF85E" w14:textId="683DC5AE" w:rsidR="00A347AF" w:rsidRPr="00B07D79" w:rsidRDefault="00A347AF" w:rsidP="00B07D79">
            <w:pPr>
              <w:spacing w:line="276" w:lineRule="auto"/>
              <w:jc w:val="both"/>
              <w:rPr>
                <w:rFonts w:asciiTheme="minorHAnsi" w:hAnsiTheme="minorHAnsi"/>
              </w:rPr>
            </w:pPr>
            <w:r w:rsidRPr="00B07D79">
              <w:rPr>
                <w:rFonts w:asciiTheme="minorHAnsi" w:hAnsiTheme="minorHAnsi"/>
              </w:rPr>
              <w:t xml:space="preserve"> 0</w:t>
            </w:r>
          </w:p>
        </w:tc>
        <w:tc>
          <w:tcPr>
            <w:tcW w:w="1118" w:type="dxa"/>
            <w:shd w:val="clear" w:color="auto" w:fill="A8D08D" w:themeFill="accent6" w:themeFillTint="99"/>
            <w:vAlign w:val="center"/>
          </w:tcPr>
          <w:p w14:paraId="1BA1066B" w14:textId="2D90C78D" w:rsidR="00A347AF" w:rsidRPr="00B07D79" w:rsidRDefault="00A347AF" w:rsidP="00B07D79">
            <w:pPr>
              <w:spacing w:line="276" w:lineRule="auto"/>
              <w:jc w:val="both"/>
              <w:rPr>
                <w:rFonts w:asciiTheme="minorHAnsi" w:hAnsiTheme="minorHAnsi"/>
              </w:rPr>
            </w:pPr>
            <w:r w:rsidRPr="00B07D79">
              <w:rPr>
                <w:rFonts w:asciiTheme="minorHAnsi" w:hAnsiTheme="minorHAnsi"/>
              </w:rPr>
              <w:t>34</w:t>
            </w:r>
          </w:p>
        </w:tc>
        <w:tc>
          <w:tcPr>
            <w:tcW w:w="1221" w:type="dxa"/>
            <w:shd w:val="clear" w:color="auto" w:fill="A8D08D" w:themeFill="accent6" w:themeFillTint="99"/>
            <w:vAlign w:val="center"/>
          </w:tcPr>
          <w:p w14:paraId="0B7FE94D" w14:textId="2A49F46E" w:rsidR="00A347AF" w:rsidRPr="00B07D79" w:rsidRDefault="00A347AF" w:rsidP="00B07D79">
            <w:pPr>
              <w:spacing w:line="276" w:lineRule="auto"/>
              <w:jc w:val="both"/>
              <w:rPr>
                <w:rFonts w:asciiTheme="minorHAnsi" w:hAnsiTheme="minorHAnsi"/>
              </w:rPr>
            </w:pPr>
            <w:r w:rsidRPr="00B07D79">
              <w:rPr>
                <w:rFonts w:asciiTheme="minorHAnsi" w:hAnsiTheme="minorHAnsi"/>
              </w:rPr>
              <w:t>200</w:t>
            </w:r>
          </w:p>
        </w:tc>
        <w:tc>
          <w:tcPr>
            <w:tcW w:w="1327" w:type="dxa"/>
            <w:shd w:val="clear" w:color="auto" w:fill="A8D08D" w:themeFill="accent6" w:themeFillTint="99"/>
            <w:vAlign w:val="center"/>
          </w:tcPr>
          <w:p w14:paraId="4525EBD0" w14:textId="503263DB" w:rsidR="00A347AF" w:rsidRPr="00B07D79" w:rsidRDefault="00A347AF" w:rsidP="00B07D79">
            <w:pPr>
              <w:spacing w:line="276" w:lineRule="auto"/>
              <w:jc w:val="both"/>
              <w:rPr>
                <w:rFonts w:asciiTheme="minorHAnsi" w:hAnsiTheme="minorHAnsi"/>
              </w:rPr>
            </w:pPr>
            <w:r w:rsidRPr="00B07D79">
              <w:rPr>
                <w:rFonts w:asciiTheme="minorHAnsi" w:hAnsiTheme="minorHAnsi"/>
              </w:rPr>
              <w:t>521</w:t>
            </w:r>
          </w:p>
        </w:tc>
        <w:tc>
          <w:tcPr>
            <w:tcW w:w="1206" w:type="dxa"/>
            <w:shd w:val="clear" w:color="auto" w:fill="A8D08D" w:themeFill="accent6" w:themeFillTint="99"/>
            <w:vAlign w:val="center"/>
          </w:tcPr>
          <w:p w14:paraId="5AD47748" w14:textId="73ADA91D" w:rsidR="00A347AF" w:rsidRPr="00B07D79" w:rsidRDefault="00A347AF" w:rsidP="00B07D79">
            <w:pPr>
              <w:spacing w:line="276" w:lineRule="auto"/>
              <w:jc w:val="both"/>
              <w:rPr>
                <w:rFonts w:asciiTheme="minorHAnsi" w:hAnsiTheme="minorHAnsi"/>
              </w:rPr>
            </w:pPr>
            <w:r w:rsidRPr="00B07D79">
              <w:rPr>
                <w:rFonts w:asciiTheme="minorHAnsi" w:hAnsiTheme="minorHAnsi"/>
              </w:rPr>
              <w:t>1 095</w:t>
            </w:r>
          </w:p>
        </w:tc>
      </w:tr>
    </w:tbl>
    <w:bookmarkEnd w:id="317"/>
    <w:p w14:paraId="4AEF9384" w14:textId="225B0F3A" w:rsidR="00216A3A" w:rsidRPr="005E2F84" w:rsidRDefault="00216A3A" w:rsidP="005E2F84">
      <w:pPr>
        <w:spacing w:line="276" w:lineRule="auto"/>
        <w:jc w:val="right"/>
        <w:rPr>
          <w:rFonts w:asciiTheme="minorHAnsi" w:hAnsiTheme="minorHAnsi"/>
          <w:i/>
          <w:iCs/>
          <w:color w:val="385623" w:themeColor="accent6" w:themeShade="80"/>
          <w:sz w:val="20"/>
          <w:szCs w:val="22"/>
        </w:rPr>
      </w:pPr>
      <w:r w:rsidRPr="005E2F84">
        <w:rPr>
          <w:rFonts w:asciiTheme="minorHAnsi" w:hAnsiTheme="minorHAnsi"/>
          <w:i/>
          <w:iCs/>
          <w:color w:val="385623" w:themeColor="accent6" w:themeShade="80"/>
          <w:sz w:val="20"/>
          <w:szCs w:val="22"/>
        </w:rPr>
        <w:t>Zdroj: Aktualizace predikce vývoje elektromobility v</w:t>
      </w:r>
      <w:r w:rsidR="00CF2351" w:rsidRPr="005E2F84">
        <w:rPr>
          <w:rFonts w:asciiTheme="minorHAnsi" w:hAnsiTheme="minorHAnsi"/>
          <w:i/>
          <w:iCs/>
          <w:color w:val="385623" w:themeColor="accent6" w:themeShade="80"/>
          <w:sz w:val="20"/>
          <w:szCs w:val="22"/>
        </w:rPr>
        <w:t> </w:t>
      </w:r>
      <w:r w:rsidRPr="005E2F84">
        <w:rPr>
          <w:rFonts w:asciiTheme="minorHAnsi" w:hAnsiTheme="minorHAnsi"/>
          <w:i/>
          <w:iCs/>
          <w:color w:val="385623" w:themeColor="accent6" w:themeShade="80"/>
          <w:sz w:val="20"/>
          <w:szCs w:val="22"/>
        </w:rPr>
        <w:t>ČR do roku 2045, EuroEnergy (2024)</w:t>
      </w:r>
    </w:p>
    <w:p w14:paraId="57DD2E35" w14:textId="2AD8473B" w:rsidR="00E46C57" w:rsidRPr="00B07D79" w:rsidRDefault="00542F6F" w:rsidP="00B07D79">
      <w:pPr>
        <w:spacing w:line="276" w:lineRule="auto"/>
        <w:jc w:val="both"/>
        <w:rPr>
          <w:rFonts w:asciiTheme="minorHAnsi" w:hAnsiTheme="minorHAnsi"/>
          <w:i/>
          <w:iCs/>
          <w:sz w:val="20"/>
          <w:szCs w:val="22"/>
        </w:rPr>
      </w:pPr>
      <w:r w:rsidRPr="00B07D79">
        <w:rPr>
          <w:rFonts w:asciiTheme="minorHAnsi" w:hAnsiTheme="minorHAnsi"/>
          <w:i/>
          <w:iCs/>
          <w:sz w:val="20"/>
          <w:szCs w:val="22"/>
        </w:rPr>
        <w:t xml:space="preserve"> </w:t>
      </w:r>
    </w:p>
    <w:p w14:paraId="196979A9" w14:textId="72F8A32E" w:rsidR="00854888" w:rsidRPr="005E2F84" w:rsidRDefault="00EF7999" w:rsidP="00B07D79">
      <w:pPr>
        <w:pStyle w:val="Titulek"/>
        <w:keepNext/>
        <w:spacing w:line="276" w:lineRule="auto"/>
        <w:jc w:val="both"/>
        <w:rPr>
          <w:rFonts w:asciiTheme="minorHAnsi" w:hAnsiTheme="minorHAnsi"/>
          <w:b w:val="0"/>
          <w:bCs w:val="0"/>
          <w:color w:val="385623" w:themeColor="accent6" w:themeShade="80"/>
        </w:rPr>
      </w:pPr>
      <w:r w:rsidRPr="005E2F84">
        <w:rPr>
          <w:rFonts w:asciiTheme="minorHAnsi" w:hAnsiTheme="minorHAnsi"/>
          <w:b w:val="0"/>
          <w:bCs w:val="0"/>
          <w:color w:val="385623" w:themeColor="accent6" w:themeShade="80"/>
        </w:rPr>
        <w:t xml:space="preserve">Tabulka </w:t>
      </w:r>
      <w:r w:rsidR="003D774B" w:rsidRPr="005E2F84">
        <w:rPr>
          <w:rFonts w:asciiTheme="minorHAnsi" w:hAnsiTheme="minorHAnsi"/>
          <w:b w:val="0"/>
          <w:bCs w:val="0"/>
          <w:color w:val="385623" w:themeColor="accent6" w:themeShade="80"/>
        </w:rPr>
        <w:fldChar w:fldCharType="begin"/>
      </w:r>
      <w:r w:rsidR="003D774B" w:rsidRPr="005E2F84">
        <w:rPr>
          <w:rFonts w:asciiTheme="minorHAnsi" w:hAnsiTheme="minorHAnsi"/>
          <w:b w:val="0"/>
          <w:bCs w:val="0"/>
          <w:color w:val="385623" w:themeColor="accent6" w:themeShade="80"/>
        </w:rPr>
        <w:instrText xml:space="preserve"> SEQ Tabulka \* ARABIC </w:instrText>
      </w:r>
      <w:r w:rsidR="003D774B" w:rsidRPr="005E2F84">
        <w:rPr>
          <w:rFonts w:asciiTheme="minorHAnsi" w:hAnsiTheme="minorHAnsi"/>
          <w:b w:val="0"/>
          <w:bCs w:val="0"/>
          <w:color w:val="385623" w:themeColor="accent6" w:themeShade="80"/>
        </w:rPr>
        <w:fldChar w:fldCharType="separate"/>
      </w:r>
      <w:r w:rsidR="00D61B36" w:rsidRPr="005E2F84">
        <w:rPr>
          <w:rFonts w:asciiTheme="minorHAnsi" w:hAnsiTheme="minorHAnsi"/>
          <w:b w:val="0"/>
          <w:bCs w:val="0"/>
          <w:noProof/>
          <w:color w:val="385623" w:themeColor="accent6" w:themeShade="80"/>
        </w:rPr>
        <w:t>12</w:t>
      </w:r>
      <w:r w:rsidR="003D774B" w:rsidRPr="005E2F84">
        <w:rPr>
          <w:rFonts w:asciiTheme="minorHAnsi" w:hAnsiTheme="minorHAnsi"/>
          <w:b w:val="0"/>
          <w:bCs w:val="0"/>
          <w:noProof/>
          <w:color w:val="385623" w:themeColor="accent6" w:themeShade="80"/>
        </w:rPr>
        <w:fldChar w:fldCharType="end"/>
      </w:r>
      <w:r w:rsidR="00E46C57" w:rsidRPr="005E2F84">
        <w:rPr>
          <w:rFonts w:asciiTheme="minorHAnsi" w:hAnsiTheme="minorHAnsi"/>
          <w:b w:val="0"/>
          <w:bCs w:val="0"/>
          <w:color w:val="385623" w:themeColor="accent6" w:themeShade="80"/>
        </w:rPr>
        <w:t xml:space="preserve"> </w:t>
      </w:r>
      <w:r w:rsidRPr="005E2F84">
        <w:rPr>
          <w:rFonts w:asciiTheme="minorHAnsi" w:hAnsiTheme="minorHAnsi"/>
          <w:b w:val="0"/>
          <w:bCs w:val="0"/>
          <w:color w:val="385623" w:themeColor="accent6" w:themeShade="80"/>
        </w:rPr>
        <w:t>Predikce počtu veřejných dobíjecích bodů ve vysokém scénáři rozvoje elektromobility</w:t>
      </w:r>
    </w:p>
    <w:tbl>
      <w:tblPr>
        <w:tblW w:w="906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70" w:type="dxa"/>
          <w:right w:w="70" w:type="dxa"/>
        </w:tblCellMar>
        <w:tblLook w:val="04A0" w:firstRow="1" w:lastRow="0" w:firstColumn="1" w:lastColumn="0" w:noHBand="0" w:noVBand="1"/>
      </w:tblPr>
      <w:tblGrid>
        <w:gridCol w:w="2973"/>
        <w:gridCol w:w="1217"/>
        <w:gridCol w:w="1118"/>
        <w:gridCol w:w="1221"/>
        <w:gridCol w:w="1327"/>
        <w:gridCol w:w="1206"/>
      </w:tblGrid>
      <w:tr w:rsidR="00854888" w:rsidRPr="00B07D79" w14:paraId="69EF46CD" w14:textId="77777777" w:rsidTr="005E2F84">
        <w:trPr>
          <w:trHeight w:val="510"/>
          <w:tblHeader/>
        </w:trPr>
        <w:tc>
          <w:tcPr>
            <w:tcW w:w="2973" w:type="dxa"/>
            <w:shd w:val="clear" w:color="auto" w:fill="70AD47" w:themeFill="accent6"/>
            <w:noWrap/>
            <w:vAlign w:val="center"/>
            <w:hideMark/>
          </w:tcPr>
          <w:p w14:paraId="0E476F92" w14:textId="1CD61418" w:rsidR="00854888" w:rsidRPr="005E2F84" w:rsidRDefault="00854888" w:rsidP="00B07D79">
            <w:pPr>
              <w:spacing w:line="276" w:lineRule="auto"/>
              <w:jc w:val="both"/>
              <w:rPr>
                <w:rFonts w:asciiTheme="minorHAnsi" w:hAnsiTheme="minorHAnsi"/>
              </w:rPr>
            </w:pPr>
            <w:r w:rsidRPr="005E2F84">
              <w:rPr>
                <w:rFonts w:asciiTheme="minorHAnsi" w:hAnsiTheme="minorHAnsi"/>
              </w:rPr>
              <w:t>Vysoký scénář</w:t>
            </w:r>
          </w:p>
        </w:tc>
        <w:tc>
          <w:tcPr>
            <w:tcW w:w="1217" w:type="dxa"/>
            <w:shd w:val="clear" w:color="auto" w:fill="70AD47" w:themeFill="accent6"/>
            <w:vAlign w:val="center"/>
          </w:tcPr>
          <w:p w14:paraId="658FE4AB"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2025</w:t>
            </w:r>
          </w:p>
        </w:tc>
        <w:tc>
          <w:tcPr>
            <w:tcW w:w="1118" w:type="dxa"/>
            <w:shd w:val="clear" w:color="auto" w:fill="70AD47" w:themeFill="accent6"/>
            <w:vAlign w:val="center"/>
          </w:tcPr>
          <w:p w14:paraId="5C44550A"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2030</w:t>
            </w:r>
          </w:p>
        </w:tc>
        <w:tc>
          <w:tcPr>
            <w:tcW w:w="1221" w:type="dxa"/>
            <w:shd w:val="clear" w:color="auto" w:fill="70AD47" w:themeFill="accent6"/>
            <w:vAlign w:val="center"/>
          </w:tcPr>
          <w:p w14:paraId="447F4BC8"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2035</w:t>
            </w:r>
          </w:p>
        </w:tc>
        <w:tc>
          <w:tcPr>
            <w:tcW w:w="1327" w:type="dxa"/>
            <w:shd w:val="clear" w:color="auto" w:fill="70AD47" w:themeFill="accent6"/>
            <w:vAlign w:val="center"/>
          </w:tcPr>
          <w:p w14:paraId="628B07C1" w14:textId="77777777" w:rsidR="00854888" w:rsidRPr="005E2F84" w:rsidRDefault="00854888" w:rsidP="00B07D79">
            <w:pPr>
              <w:spacing w:line="276" w:lineRule="auto"/>
              <w:jc w:val="both"/>
              <w:rPr>
                <w:rFonts w:asciiTheme="minorHAnsi" w:hAnsiTheme="minorHAnsi"/>
              </w:rPr>
            </w:pPr>
            <w:r w:rsidRPr="005E2F84">
              <w:rPr>
                <w:rFonts w:asciiTheme="minorHAnsi" w:hAnsiTheme="minorHAnsi"/>
              </w:rPr>
              <w:t>2040</w:t>
            </w:r>
          </w:p>
        </w:tc>
        <w:tc>
          <w:tcPr>
            <w:tcW w:w="1206" w:type="dxa"/>
            <w:shd w:val="clear" w:color="auto" w:fill="70AD47" w:themeFill="accent6"/>
            <w:vAlign w:val="center"/>
          </w:tcPr>
          <w:p w14:paraId="0AB557A0" w14:textId="70B1165F" w:rsidR="00854888" w:rsidRPr="005E2F84" w:rsidRDefault="00854888" w:rsidP="00B07D79">
            <w:pPr>
              <w:spacing w:line="276" w:lineRule="auto"/>
              <w:jc w:val="both"/>
              <w:rPr>
                <w:rFonts w:asciiTheme="minorHAnsi" w:hAnsiTheme="minorHAnsi"/>
              </w:rPr>
            </w:pPr>
            <w:r w:rsidRPr="005E2F84">
              <w:rPr>
                <w:rFonts w:asciiTheme="minorHAnsi" w:hAnsiTheme="minorHAnsi"/>
              </w:rPr>
              <w:t>2045</w:t>
            </w:r>
          </w:p>
        </w:tc>
      </w:tr>
      <w:tr w:rsidR="00854888" w:rsidRPr="00B07D79" w14:paraId="6EB8F023" w14:textId="77777777" w:rsidTr="005E2F84">
        <w:trPr>
          <w:trHeight w:val="442"/>
        </w:trPr>
        <w:tc>
          <w:tcPr>
            <w:tcW w:w="2973" w:type="dxa"/>
            <w:shd w:val="clear" w:color="auto" w:fill="A8D08D" w:themeFill="accent6" w:themeFillTint="99"/>
            <w:vAlign w:val="center"/>
          </w:tcPr>
          <w:p w14:paraId="1B7C10B9"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11 kW</w:t>
            </w:r>
          </w:p>
        </w:tc>
        <w:tc>
          <w:tcPr>
            <w:tcW w:w="1217" w:type="dxa"/>
            <w:shd w:val="clear" w:color="auto" w:fill="A8D08D" w:themeFill="accent6" w:themeFillTint="99"/>
            <w:vAlign w:val="center"/>
          </w:tcPr>
          <w:p w14:paraId="019A526B" w14:textId="032CE61E" w:rsidR="00854888" w:rsidRPr="00B07D79" w:rsidRDefault="00854888" w:rsidP="00B07D79">
            <w:pPr>
              <w:spacing w:line="276" w:lineRule="auto"/>
              <w:jc w:val="both"/>
              <w:rPr>
                <w:rFonts w:asciiTheme="minorHAnsi" w:hAnsiTheme="minorHAnsi"/>
              </w:rPr>
            </w:pPr>
            <w:r w:rsidRPr="00B07D79">
              <w:rPr>
                <w:rFonts w:asciiTheme="minorHAnsi" w:hAnsiTheme="minorHAnsi"/>
              </w:rPr>
              <w:t>1 295</w:t>
            </w:r>
          </w:p>
        </w:tc>
        <w:tc>
          <w:tcPr>
            <w:tcW w:w="1118" w:type="dxa"/>
            <w:shd w:val="clear" w:color="auto" w:fill="A8D08D" w:themeFill="accent6" w:themeFillTint="99"/>
            <w:vAlign w:val="center"/>
          </w:tcPr>
          <w:p w14:paraId="185871BF" w14:textId="4B63A87E" w:rsidR="00854888" w:rsidRPr="00B07D79" w:rsidRDefault="00854888" w:rsidP="00B07D79">
            <w:pPr>
              <w:spacing w:line="276" w:lineRule="auto"/>
              <w:jc w:val="both"/>
              <w:rPr>
                <w:rFonts w:asciiTheme="minorHAnsi" w:hAnsiTheme="minorHAnsi"/>
              </w:rPr>
            </w:pPr>
            <w:r w:rsidRPr="00B07D79">
              <w:rPr>
                <w:rFonts w:asciiTheme="minorHAnsi" w:hAnsiTheme="minorHAnsi"/>
              </w:rPr>
              <w:t>2 447</w:t>
            </w:r>
          </w:p>
        </w:tc>
        <w:tc>
          <w:tcPr>
            <w:tcW w:w="1221" w:type="dxa"/>
            <w:shd w:val="clear" w:color="auto" w:fill="A8D08D" w:themeFill="accent6" w:themeFillTint="99"/>
            <w:vAlign w:val="center"/>
          </w:tcPr>
          <w:p w14:paraId="14105993" w14:textId="07E48DD9" w:rsidR="00854888" w:rsidRPr="00B07D79" w:rsidRDefault="00854888" w:rsidP="00B07D79">
            <w:pPr>
              <w:spacing w:line="276" w:lineRule="auto"/>
              <w:jc w:val="both"/>
              <w:rPr>
                <w:rFonts w:asciiTheme="minorHAnsi" w:hAnsiTheme="minorHAnsi"/>
              </w:rPr>
            </w:pPr>
            <w:r w:rsidRPr="00B07D79">
              <w:rPr>
                <w:rFonts w:asciiTheme="minorHAnsi" w:hAnsiTheme="minorHAnsi"/>
              </w:rPr>
              <w:t>8 842</w:t>
            </w:r>
          </w:p>
        </w:tc>
        <w:tc>
          <w:tcPr>
            <w:tcW w:w="1327" w:type="dxa"/>
            <w:shd w:val="clear" w:color="auto" w:fill="A8D08D" w:themeFill="accent6" w:themeFillTint="99"/>
            <w:vAlign w:val="center"/>
          </w:tcPr>
          <w:p w14:paraId="52490952" w14:textId="15D90D2E" w:rsidR="00854888" w:rsidRPr="00B07D79" w:rsidRDefault="00854888" w:rsidP="00B07D79">
            <w:pPr>
              <w:spacing w:line="276" w:lineRule="auto"/>
              <w:jc w:val="both"/>
              <w:rPr>
                <w:rFonts w:asciiTheme="minorHAnsi" w:hAnsiTheme="minorHAnsi"/>
              </w:rPr>
            </w:pPr>
            <w:r w:rsidRPr="00B07D79">
              <w:rPr>
                <w:rFonts w:asciiTheme="minorHAnsi" w:hAnsiTheme="minorHAnsi"/>
              </w:rPr>
              <w:t>14 121</w:t>
            </w:r>
          </w:p>
        </w:tc>
        <w:tc>
          <w:tcPr>
            <w:tcW w:w="1206" w:type="dxa"/>
            <w:shd w:val="clear" w:color="auto" w:fill="A8D08D" w:themeFill="accent6" w:themeFillTint="99"/>
            <w:vAlign w:val="center"/>
          </w:tcPr>
          <w:p w14:paraId="56F777BA" w14:textId="012D6773" w:rsidR="00854888" w:rsidRPr="00B07D79" w:rsidRDefault="00854888" w:rsidP="00B07D79">
            <w:pPr>
              <w:spacing w:line="276" w:lineRule="auto"/>
              <w:jc w:val="both"/>
              <w:rPr>
                <w:rFonts w:asciiTheme="minorHAnsi" w:hAnsiTheme="minorHAnsi"/>
              </w:rPr>
            </w:pPr>
            <w:r w:rsidRPr="00B07D79">
              <w:rPr>
                <w:rFonts w:asciiTheme="minorHAnsi" w:hAnsiTheme="minorHAnsi"/>
              </w:rPr>
              <w:t>18 325</w:t>
            </w:r>
          </w:p>
        </w:tc>
      </w:tr>
      <w:tr w:rsidR="00854888" w:rsidRPr="00B07D79" w14:paraId="19F7230D" w14:textId="77777777" w:rsidTr="005E2F84">
        <w:trPr>
          <w:trHeight w:val="442"/>
        </w:trPr>
        <w:tc>
          <w:tcPr>
            <w:tcW w:w="2973" w:type="dxa"/>
            <w:shd w:val="clear" w:color="auto" w:fill="A8D08D" w:themeFill="accent6" w:themeFillTint="99"/>
            <w:vAlign w:val="center"/>
          </w:tcPr>
          <w:p w14:paraId="47E15930" w14:textId="7F796C08" w:rsidR="00854888" w:rsidRPr="00B07D79" w:rsidRDefault="00854888" w:rsidP="00B07D79">
            <w:pPr>
              <w:spacing w:line="276" w:lineRule="auto"/>
              <w:jc w:val="both"/>
              <w:rPr>
                <w:rFonts w:asciiTheme="minorHAnsi" w:hAnsiTheme="minorHAnsi"/>
              </w:rPr>
            </w:pPr>
            <w:r w:rsidRPr="00B07D79">
              <w:rPr>
                <w:rFonts w:asciiTheme="minorHAnsi" w:hAnsiTheme="minorHAnsi"/>
              </w:rPr>
              <w:t xml:space="preserve">22 </w:t>
            </w:r>
            <w:r w:rsidR="000F1AFA" w:rsidRPr="00B07D79">
              <w:rPr>
                <w:rFonts w:asciiTheme="minorHAnsi" w:hAnsiTheme="minorHAnsi"/>
              </w:rPr>
              <w:t>k</w:t>
            </w:r>
            <w:r w:rsidRPr="00B07D79">
              <w:rPr>
                <w:rFonts w:asciiTheme="minorHAnsi" w:hAnsiTheme="minorHAnsi"/>
              </w:rPr>
              <w:t>W</w:t>
            </w:r>
          </w:p>
        </w:tc>
        <w:tc>
          <w:tcPr>
            <w:tcW w:w="1217" w:type="dxa"/>
            <w:shd w:val="clear" w:color="auto" w:fill="A8D08D" w:themeFill="accent6" w:themeFillTint="99"/>
            <w:vAlign w:val="center"/>
          </w:tcPr>
          <w:p w14:paraId="2B2764A0" w14:textId="74BF4DA0" w:rsidR="00854888" w:rsidRPr="00B07D79" w:rsidRDefault="00854888" w:rsidP="00B07D79">
            <w:pPr>
              <w:spacing w:line="276" w:lineRule="auto"/>
              <w:jc w:val="both"/>
              <w:rPr>
                <w:rFonts w:asciiTheme="minorHAnsi" w:hAnsiTheme="minorHAnsi"/>
              </w:rPr>
            </w:pPr>
            <w:r w:rsidRPr="00B07D79">
              <w:rPr>
                <w:rFonts w:asciiTheme="minorHAnsi" w:hAnsiTheme="minorHAnsi"/>
              </w:rPr>
              <w:t>4 188</w:t>
            </w:r>
          </w:p>
        </w:tc>
        <w:tc>
          <w:tcPr>
            <w:tcW w:w="1118" w:type="dxa"/>
            <w:shd w:val="clear" w:color="auto" w:fill="A8D08D" w:themeFill="accent6" w:themeFillTint="99"/>
            <w:vAlign w:val="center"/>
          </w:tcPr>
          <w:p w14:paraId="214C0DF7" w14:textId="5F8EA0DA" w:rsidR="00854888" w:rsidRPr="00B07D79" w:rsidRDefault="00854888" w:rsidP="00B07D79">
            <w:pPr>
              <w:spacing w:line="276" w:lineRule="auto"/>
              <w:jc w:val="both"/>
              <w:rPr>
                <w:rFonts w:asciiTheme="minorHAnsi" w:hAnsiTheme="minorHAnsi"/>
              </w:rPr>
            </w:pPr>
            <w:r w:rsidRPr="00B07D79">
              <w:rPr>
                <w:rFonts w:asciiTheme="minorHAnsi" w:hAnsiTheme="minorHAnsi"/>
              </w:rPr>
              <w:t>34 743</w:t>
            </w:r>
          </w:p>
        </w:tc>
        <w:tc>
          <w:tcPr>
            <w:tcW w:w="1221" w:type="dxa"/>
            <w:shd w:val="clear" w:color="auto" w:fill="A8D08D" w:themeFill="accent6" w:themeFillTint="99"/>
            <w:vAlign w:val="center"/>
          </w:tcPr>
          <w:p w14:paraId="7DC08D46" w14:textId="1B6F3E54" w:rsidR="00854888" w:rsidRPr="00B07D79" w:rsidRDefault="00854888" w:rsidP="00B07D79">
            <w:pPr>
              <w:spacing w:line="276" w:lineRule="auto"/>
              <w:jc w:val="both"/>
              <w:rPr>
                <w:rFonts w:asciiTheme="minorHAnsi" w:hAnsiTheme="minorHAnsi"/>
              </w:rPr>
            </w:pPr>
            <w:r w:rsidRPr="00B07D79">
              <w:rPr>
                <w:rFonts w:asciiTheme="minorHAnsi" w:hAnsiTheme="minorHAnsi"/>
              </w:rPr>
              <w:t>120 576</w:t>
            </w:r>
          </w:p>
        </w:tc>
        <w:tc>
          <w:tcPr>
            <w:tcW w:w="1327" w:type="dxa"/>
            <w:shd w:val="clear" w:color="auto" w:fill="A8D08D" w:themeFill="accent6" w:themeFillTint="99"/>
            <w:vAlign w:val="center"/>
          </w:tcPr>
          <w:p w14:paraId="5EF8C0BF" w14:textId="555457DE" w:rsidR="00854888" w:rsidRPr="00B07D79" w:rsidRDefault="00854888" w:rsidP="00B07D79">
            <w:pPr>
              <w:spacing w:line="276" w:lineRule="auto"/>
              <w:jc w:val="both"/>
              <w:rPr>
                <w:rFonts w:asciiTheme="minorHAnsi" w:hAnsiTheme="minorHAnsi"/>
              </w:rPr>
            </w:pPr>
            <w:r w:rsidRPr="00B07D79">
              <w:rPr>
                <w:rFonts w:asciiTheme="minorHAnsi" w:hAnsiTheme="minorHAnsi"/>
              </w:rPr>
              <w:t>225 287</w:t>
            </w:r>
          </w:p>
        </w:tc>
        <w:tc>
          <w:tcPr>
            <w:tcW w:w="1206" w:type="dxa"/>
            <w:shd w:val="clear" w:color="auto" w:fill="A8D08D" w:themeFill="accent6" w:themeFillTint="99"/>
            <w:vAlign w:val="center"/>
          </w:tcPr>
          <w:p w14:paraId="08074538" w14:textId="56E91C4B" w:rsidR="00854888" w:rsidRPr="00B07D79" w:rsidRDefault="00854888" w:rsidP="00B07D79">
            <w:pPr>
              <w:spacing w:line="276" w:lineRule="auto"/>
              <w:jc w:val="both"/>
              <w:rPr>
                <w:rFonts w:asciiTheme="minorHAnsi" w:hAnsiTheme="minorHAnsi"/>
              </w:rPr>
            </w:pPr>
            <w:r w:rsidRPr="00B07D79">
              <w:rPr>
                <w:rFonts w:asciiTheme="minorHAnsi" w:hAnsiTheme="minorHAnsi"/>
              </w:rPr>
              <w:t>292 349</w:t>
            </w:r>
          </w:p>
        </w:tc>
      </w:tr>
      <w:tr w:rsidR="00854888" w:rsidRPr="00B07D79" w14:paraId="14A80535" w14:textId="77777777" w:rsidTr="005E2F84">
        <w:trPr>
          <w:trHeight w:val="442"/>
        </w:trPr>
        <w:tc>
          <w:tcPr>
            <w:tcW w:w="2973" w:type="dxa"/>
            <w:shd w:val="clear" w:color="auto" w:fill="A8D08D" w:themeFill="accent6" w:themeFillTint="99"/>
            <w:vAlign w:val="center"/>
          </w:tcPr>
          <w:p w14:paraId="39087BEB"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50-149 kW</w:t>
            </w:r>
          </w:p>
        </w:tc>
        <w:tc>
          <w:tcPr>
            <w:tcW w:w="1217" w:type="dxa"/>
            <w:shd w:val="clear" w:color="auto" w:fill="A8D08D" w:themeFill="accent6" w:themeFillTint="99"/>
            <w:vAlign w:val="center"/>
          </w:tcPr>
          <w:p w14:paraId="1586CA2E" w14:textId="398DD0C2" w:rsidR="00854888" w:rsidRPr="00B07D79" w:rsidRDefault="00854888" w:rsidP="00B07D79">
            <w:pPr>
              <w:spacing w:line="276" w:lineRule="auto"/>
              <w:jc w:val="both"/>
              <w:rPr>
                <w:rFonts w:asciiTheme="minorHAnsi" w:hAnsiTheme="minorHAnsi"/>
              </w:rPr>
            </w:pPr>
            <w:r w:rsidRPr="00B07D79">
              <w:rPr>
                <w:rFonts w:asciiTheme="minorHAnsi" w:hAnsiTheme="minorHAnsi"/>
              </w:rPr>
              <w:t>156</w:t>
            </w:r>
          </w:p>
        </w:tc>
        <w:tc>
          <w:tcPr>
            <w:tcW w:w="1118" w:type="dxa"/>
            <w:shd w:val="clear" w:color="auto" w:fill="A8D08D" w:themeFill="accent6" w:themeFillTint="99"/>
            <w:vAlign w:val="center"/>
          </w:tcPr>
          <w:p w14:paraId="6F06F816" w14:textId="7A3F2DBF" w:rsidR="00854888" w:rsidRPr="00B07D79" w:rsidRDefault="00854888" w:rsidP="00B07D79">
            <w:pPr>
              <w:spacing w:line="276" w:lineRule="auto"/>
              <w:jc w:val="both"/>
              <w:rPr>
                <w:rFonts w:asciiTheme="minorHAnsi" w:hAnsiTheme="minorHAnsi"/>
              </w:rPr>
            </w:pPr>
            <w:r w:rsidRPr="00B07D79">
              <w:rPr>
                <w:rFonts w:asciiTheme="minorHAnsi" w:hAnsiTheme="minorHAnsi"/>
              </w:rPr>
              <w:t>1 032</w:t>
            </w:r>
          </w:p>
        </w:tc>
        <w:tc>
          <w:tcPr>
            <w:tcW w:w="1221" w:type="dxa"/>
            <w:shd w:val="clear" w:color="auto" w:fill="A8D08D" w:themeFill="accent6" w:themeFillTint="99"/>
            <w:vAlign w:val="center"/>
          </w:tcPr>
          <w:p w14:paraId="796858BA" w14:textId="2FF7169F" w:rsidR="00854888" w:rsidRPr="00B07D79" w:rsidRDefault="00854888" w:rsidP="00B07D79">
            <w:pPr>
              <w:spacing w:line="276" w:lineRule="auto"/>
              <w:jc w:val="both"/>
              <w:rPr>
                <w:rFonts w:asciiTheme="minorHAnsi" w:hAnsiTheme="minorHAnsi"/>
              </w:rPr>
            </w:pPr>
            <w:r w:rsidRPr="00B07D79">
              <w:rPr>
                <w:rFonts w:asciiTheme="minorHAnsi" w:hAnsiTheme="minorHAnsi"/>
              </w:rPr>
              <w:t>2 940</w:t>
            </w:r>
          </w:p>
        </w:tc>
        <w:tc>
          <w:tcPr>
            <w:tcW w:w="1327" w:type="dxa"/>
            <w:shd w:val="clear" w:color="auto" w:fill="A8D08D" w:themeFill="accent6" w:themeFillTint="99"/>
            <w:vAlign w:val="center"/>
          </w:tcPr>
          <w:p w14:paraId="3320D7C6" w14:textId="075EBB27" w:rsidR="00854888" w:rsidRPr="00B07D79" w:rsidRDefault="00854888" w:rsidP="00B07D79">
            <w:pPr>
              <w:spacing w:line="276" w:lineRule="auto"/>
              <w:jc w:val="both"/>
              <w:rPr>
                <w:rFonts w:asciiTheme="minorHAnsi" w:hAnsiTheme="minorHAnsi"/>
              </w:rPr>
            </w:pPr>
            <w:r w:rsidRPr="00B07D79">
              <w:rPr>
                <w:rFonts w:asciiTheme="minorHAnsi" w:hAnsiTheme="minorHAnsi"/>
              </w:rPr>
              <w:t>3 363</w:t>
            </w:r>
          </w:p>
        </w:tc>
        <w:tc>
          <w:tcPr>
            <w:tcW w:w="1206" w:type="dxa"/>
            <w:shd w:val="clear" w:color="auto" w:fill="A8D08D" w:themeFill="accent6" w:themeFillTint="99"/>
            <w:vAlign w:val="center"/>
          </w:tcPr>
          <w:p w14:paraId="0E0298AE" w14:textId="4CBF0EFB" w:rsidR="00854888" w:rsidRPr="00B07D79" w:rsidRDefault="00854888" w:rsidP="00B07D79">
            <w:pPr>
              <w:spacing w:line="276" w:lineRule="auto"/>
              <w:jc w:val="both"/>
              <w:rPr>
                <w:rFonts w:asciiTheme="minorHAnsi" w:hAnsiTheme="minorHAnsi"/>
              </w:rPr>
            </w:pPr>
            <w:r w:rsidRPr="00B07D79">
              <w:rPr>
                <w:rFonts w:asciiTheme="minorHAnsi" w:hAnsiTheme="minorHAnsi"/>
              </w:rPr>
              <w:t>4 333</w:t>
            </w:r>
          </w:p>
        </w:tc>
      </w:tr>
      <w:tr w:rsidR="00854888" w:rsidRPr="00B07D79" w14:paraId="6DA42627" w14:textId="77777777" w:rsidTr="005E2F84">
        <w:trPr>
          <w:trHeight w:val="442"/>
        </w:trPr>
        <w:tc>
          <w:tcPr>
            <w:tcW w:w="2973" w:type="dxa"/>
            <w:shd w:val="clear" w:color="auto" w:fill="A8D08D" w:themeFill="accent6" w:themeFillTint="99"/>
            <w:vAlign w:val="center"/>
          </w:tcPr>
          <w:p w14:paraId="0CDC8C5D"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150-349 kW</w:t>
            </w:r>
          </w:p>
        </w:tc>
        <w:tc>
          <w:tcPr>
            <w:tcW w:w="1217" w:type="dxa"/>
            <w:shd w:val="clear" w:color="auto" w:fill="A8D08D" w:themeFill="accent6" w:themeFillTint="99"/>
            <w:vAlign w:val="center"/>
          </w:tcPr>
          <w:p w14:paraId="0401718E" w14:textId="3A903A6C" w:rsidR="00854888" w:rsidRPr="00B07D79" w:rsidRDefault="00854888" w:rsidP="00B07D79">
            <w:pPr>
              <w:spacing w:line="276" w:lineRule="auto"/>
              <w:jc w:val="both"/>
              <w:rPr>
                <w:rFonts w:asciiTheme="minorHAnsi" w:hAnsiTheme="minorHAnsi"/>
              </w:rPr>
            </w:pPr>
            <w:r w:rsidRPr="00B07D79">
              <w:rPr>
                <w:rFonts w:asciiTheme="minorHAnsi" w:hAnsiTheme="minorHAnsi"/>
              </w:rPr>
              <w:t>54</w:t>
            </w:r>
          </w:p>
        </w:tc>
        <w:tc>
          <w:tcPr>
            <w:tcW w:w="1118" w:type="dxa"/>
            <w:shd w:val="clear" w:color="auto" w:fill="A8D08D" w:themeFill="accent6" w:themeFillTint="99"/>
            <w:vAlign w:val="center"/>
          </w:tcPr>
          <w:p w14:paraId="466DF6AE" w14:textId="0AD4994B" w:rsidR="00854888" w:rsidRPr="00B07D79" w:rsidRDefault="00854888" w:rsidP="00B07D79">
            <w:pPr>
              <w:spacing w:line="276" w:lineRule="auto"/>
              <w:jc w:val="both"/>
              <w:rPr>
                <w:rFonts w:asciiTheme="minorHAnsi" w:hAnsiTheme="minorHAnsi"/>
              </w:rPr>
            </w:pPr>
            <w:r w:rsidRPr="00B07D79">
              <w:rPr>
                <w:rFonts w:asciiTheme="minorHAnsi" w:hAnsiTheme="minorHAnsi"/>
              </w:rPr>
              <w:t>618</w:t>
            </w:r>
          </w:p>
        </w:tc>
        <w:tc>
          <w:tcPr>
            <w:tcW w:w="1221" w:type="dxa"/>
            <w:shd w:val="clear" w:color="auto" w:fill="A8D08D" w:themeFill="accent6" w:themeFillTint="99"/>
            <w:vAlign w:val="center"/>
          </w:tcPr>
          <w:p w14:paraId="039D3D7E" w14:textId="71EE7CCB" w:rsidR="00854888" w:rsidRPr="00B07D79" w:rsidRDefault="00854888" w:rsidP="00B07D79">
            <w:pPr>
              <w:spacing w:line="276" w:lineRule="auto"/>
              <w:jc w:val="both"/>
              <w:rPr>
                <w:rFonts w:asciiTheme="minorHAnsi" w:hAnsiTheme="minorHAnsi"/>
              </w:rPr>
            </w:pPr>
            <w:r w:rsidRPr="00B07D79">
              <w:rPr>
                <w:rFonts w:asciiTheme="minorHAnsi" w:hAnsiTheme="minorHAnsi"/>
              </w:rPr>
              <w:t>2 283</w:t>
            </w:r>
          </w:p>
        </w:tc>
        <w:tc>
          <w:tcPr>
            <w:tcW w:w="1327" w:type="dxa"/>
            <w:shd w:val="clear" w:color="auto" w:fill="A8D08D" w:themeFill="accent6" w:themeFillTint="99"/>
            <w:vAlign w:val="center"/>
          </w:tcPr>
          <w:p w14:paraId="424CBACD" w14:textId="05E35DE2" w:rsidR="00854888" w:rsidRPr="00B07D79" w:rsidRDefault="00854888" w:rsidP="00B07D79">
            <w:pPr>
              <w:spacing w:line="276" w:lineRule="auto"/>
              <w:jc w:val="both"/>
              <w:rPr>
                <w:rFonts w:asciiTheme="minorHAnsi" w:hAnsiTheme="minorHAnsi"/>
              </w:rPr>
            </w:pPr>
            <w:r w:rsidRPr="00B07D79">
              <w:rPr>
                <w:rFonts w:asciiTheme="minorHAnsi" w:hAnsiTheme="minorHAnsi"/>
              </w:rPr>
              <w:t>4 412</w:t>
            </w:r>
          </w:p>
        </w:tc>
        <w:tc>
          <w:tcPr>
            <w:tcW w:w="1206" w:type="dxa"/>
            <w:shd w:val="clear" w:color="auto" w:fill="A8D08D" w:themeFill="accent6" w:themeFillTint="99"/>
            <w:vAlign w:val="center"/>
          </w:tcPr>
          <w:p w14:paraId="14A734E0" w14:textId="30ED4095" w:rsidR="00854888" w:rsidRPr="00B07D79" w:rsidRDefault="00854888" w:rsidP="00B07D79">
            <w:pPr>
              <w:spacing w:line="276" w:lineRule="auto"/>
              <w:jc w:val="both"/>
              <w:rPr>
                <w:rFonts w:asciiTheme="minorHAnsi" w:hAnsiTheme="minorHAnsi"/>
              </w:rPr>
            </w:pPr>
            <w:r w:rsidRPr="00B07D79">
              <w:rPr>
                <w:rFonts w:asciiTheme="minorHAnsi" w:hAnsiTheme="minorHAnsi"/>
              </w:rPr>
              <w:t>5 979</w:t>
            </w:r>
          </w:p>
        </w:tc>
      </w:tr>
      <w:tr w:rsidR="00854888" w:rsidRPr="00B07D79" w14:paraId="5A9B01DE" w14:textId="77777777" w:rsidTr="005E2F84">
        <w:trPr>
          <w:trHeight w:val="442"/>
        </w:trPr>
        <w:tc>
          <w:tcPr>
            <w:tcW w:w="2973" w:type="dxa"/>
            <w:shd w:val="clear" w:color="auto" w:fill="A8D08D" w:themeFill="accent6" w:themeFillTint="99"/>
            <w:vAlign w:val="center"/>
          </w:tcPr>
          <w:p w14:paraId="4D588986"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350+ kW</w:t>
            </w:r>
          </w:p>
        </w:tc>
        <w:tc>
          <w:tcPr>
            <w:tcW w:w="1217" w:type="dxa"/>
            <w:shd w:val="clear" w:color="auto" w:fill="A8D08D" w:themeFill="accent6" w:themeFillTint="99"/>
            <w:vAlign w:val="center"/>
          </w:tcPr>
          <w:p w14:paraId="58A0AE1F" w14:textId="02AFEEF3" w:rsidR="00854888" w:rsidRPr="00B07D79" w:rsidRDefault="00854888" w:rsidP="00B07D79">
            <w:pPr>
              <w:spacing w:line="276" w:lineRule="auto"/>
              <w:jc w:val="both"/>
              <w:rPr>
                <w:rFonts w:asciiTheme="minorHAnsi" w:hAnsiTheme="minorHAnsi"/>
              </w:rPr>
            </w:pPr>
            <w:r w:rsidRPr="00B07D79">
              <w:rPr>
                <w:rFonts w:asciiTheme="minorHAnsi" w:hAnsiTheme="minorHAnsi"/>
              </w:rPr>
              <w:t>17</w:t>
            </w:r>
          </w:p>
        </w:tc>
        <w:tc>
          <w:tcPr>
            <w:tcW w:w="1118" w:type="dxa"/>
            <w:shd w:val="clear" w:color="auto" w:fill="A8D08D" w:themeFill="accent6" w:themeFillTint="99"/>
            <w:vAlign w:val="center"/>
          </w:tcPr>
          <w:p w14:paraId="2744D04D" w14:textId="1B75D0C7" w:rsidR="00854888" w:rsidRPr="00B07D79" w:rsidRDefault="00854888" w:rsidP="00B07D79">
            <w:pPr>
              <w:spacing w:line="276" w:lineRule="auto"/>
              <w:jc w:val="both"/>
              <w:rPr>
                <w:rFonts w:asciiTheme="minorHAnsi" w:hAnsiTheme="minorHAnsi"/>
              </w:rPr>
            </w:pPr>
            <w:r w:rsidRPr="00B07D79">
              <w:rPr>
                <w:rFonts w:asciiTheme="minorHAnsi" w:hAnsiTheme="minorHAnsi"/>
              </w:rPr>
              <w:t>196</w:t>
            </w:r>
          </w:p>
        </w:tc>
        <w:tc>
          <w:tcPr>
            <w:tcW w:w="1221" w:type="dxa"/>
            <w:shd w:val="clear" w:color="auto" w:fill="A8D08D" w:themeFill="accent6" w:themeFillTint="99"/>
            <w:vAlign w:val="center"/>
          </w:tcPr>
          <w:p w14:paraId="15F7E92D" w14:textId="7C7D4E89" w:rsidR="00854888" w:rsidRPr="00B07D79" w:rsidRDefault="00854888" w:rsidP="00B07D79">
            <w:pPr>
              <w:spacing w:line="276" w:lineRule="auto"/>
              <w:jc w:val="both"/>
              <w:rPr>
                <w:rFonts w:asciiTheme="minorHAnsi" w:hAnsiTheme="minorHAnsi"/>
              </w:rPr>
            </w:pPr>
            <w:r w:rsidRPr="00B07D79">
              <w:rPr>
                <w:rFonts w:asciiTheme="minorHAnsi" w:hAnsiTheme="minorHAnsi"/>
              </w:rPr>
              <w:t>790</w:t>
            </w:r>
          </w:p>
        </w:tc>
        <w:tc>
          <w:tcPr>
            <w:tcW w:w="1327" w:type="dxa"/>
            <w:shd w:val="clear" w:color="auto" w:fill="A8D08D" w:themeFill="accent6" w:themeFillTint="99"/>
            <w:vAlign w:val="center"/>
          </w:tcPr>
          <w:p w14:paraId="62B91699" w14:textId="75A8DD81" w:rsidR="00854888" w:rsidRPr="00B07D79" w:rsidRDefault="00854888" w:rsidP="00B07D79">
            <w:pPr>
              <w:spacing w:line="276" w:lineRule="auto"/>
              <w:jc w:val="both"/>
              <w:rPr>
                <w:rFonts w:asciiTheme="minorHAnsi" w:hAnsiTheme="minorHAnsi"/>
              </w:rPr>
            </w:pPr>
            <w:r w:rsidRPr="00B07D79">
              <w:rPr>
                <w:rFonts w:asciiTheme="minorHAnsi" w:hAnsiTheme="minorHAnsi"/>
              </w:rPr>
              <w:t>1 700</w:t>
            </w:r>
          </w:p>
        </w:tc>
        <w:tc>
          <w:tcPr>
            <w:tcW w:w="1206" w:type="dxa"/>
            <w:shd w:val="clear" w:color="auto" w:fill="A8D08D" w:themeFill="accent6" w:themeFillTint="99"/>
            <w:vAlign w:val="center"/>
          </w:tcPr>
          <w:p w14:paraId="71A4CEB6" w14:textId="37B69FC0" w:rsidR="00854888" w:rsidRPr="00B07D79" w:rsidRDefault="00854888" w:rsidP="00B07D79">
            <w:pPr>
              <w:spacing w:line="276" w:lineRule="auto"/>
              <w:jc w:val="both"/>
              <w:rPr>
                <w:rFonts w:asciiTheme="minorHAnsi" w:hAnsiTheme="minorHAnsi"/>
              </w:rPr>
            </w:pPr>
            <w:r w:rsidRPr="00B07D79">
              <w:rPr>
                <w:rFonts w:asciiTheme="minorHAnsi" w:hAnsiTheme="minorHAnsi"/>
              </w:rPr>
              <w:t>2 537</w:t>
            </w:r>
          </w:p>
        </w:tc>
      </w:tr>
      <w:tr w:rsidR="00854888" w:rsidRPr="00B07D79" w14:paraId="66F2DCBC" w14:textId="77777777" w:rsidTr="005E2F84">
        <w:trPr>
          <w:trHeight w:val="442"/>
        </w:trPr>
        <w:tc>
          <w:tcPr>
            <w:tcW w:w="2973" w:type="dxa"/>
            <w:shd w:val="clear" w:color="auto" w:fill="A8D08D" w:themeFill="accent6" w:themeFillTint="99"/>
            <w:vAlign w:val="center"/>
          </w:tcPr>
          <w:p w14:paraId="07A39544" w14:textId="77777777" w:rsidR="00854888" w:rsidRPr="00B07D79" w:rsidRDefault="00854888" w:rsidP="00B07D79">
            <w:pPr>
              <w:spacing w:line="276" w:lineRule="auto"/>
              <w:jc w:val="both"/>
              <w:rPr>
                <w:rFonts w:asciiTheme="minorHAnsi" w:hAnsiTheme="minorHAnsi"/>
              </w:rPr>
            </w:pPr>
            <w:r w:rsidRPr="00B07D79">
              <w:rPr>
                <w:rFonts w:asciiTheme="minorHAnsi" w:hAnsiTheme="minorHAnsi"/>
              </w:rPr>
              <w:t>1 000+ kW</w:t>
            </w:r>
          </w:p>
        </w:tc>
        <w:tc>
          <w:tcPr>
            <w:tcW w:w="1217" w:type="dxa"/>
            <w:shd w:val="clear" w:color="auto" w:fill="A8D08D" w:themeFill="accent6" w:themeFillTint="99"/>
            <w:vAlign w:val="center"/>
          </w:tcPr>
          <w:p w14:paraId="29A20F98" w14:textId="741B5ACB" w:rsidR="00854888" w:rsidRPr="00B07D79" w:rsidRDefault="00854888" w:rsidP="00B07D79">
            <w:pPr>
              <w:spacing w:line="276" w:lineRule="auto"/>
              <w:jc w:val="both"/>
              <w:rPr>
                <w:rFonts w:asciiTheme="minorHAnsi" w:hAnsiTheme="minorHAnsi"/>
              </w:rPr>
            </w:pPr>
            <w:r w:rsidRPr="00B07D79">
              <w:rPr>
                <w:rFonts w:asciiTheme="minorHAnsi" w:hAnsiTheme="minorHAnsi"/>
              </w:rPr>
              <w:t>0</w:t>
            </w:r>
          </w:p>
        </w:tc>
        <w:tc>
          <w:tcPr>
            <w:tcW w:w="1118" w:type="dxa"/>
            <w:shd w:val="clear" w:color="auto" w:fill="A8D08D" w:themeFill="accent6" w:themeFillTint="99"/>
            <w:vAlign w:val="center"/>
          </w:tcPr>
          <w:p w14:paraId="493D1568" w14:textId="7F364B33" w:rsidR="00854888" w:rsidRPr="00B07D79" w:rsidRDefault="00854888" w:rsidP="00B07D79">
            <w:pPr>
              <w:spacing w:line="276" w:lineRule="auto"/>
              <w:jc w:val="both"/>
              <w:rPr>
                <w:rFonts w:asciiTheme="minorHAnsi" w:hAnsiTheme="minorHAnsi"/>
              </w:rPr>
            </w:pPr>
            <w:r w:rsidRPr="00B07D79">
              <w:rPr>
                <w:rFonts w:asciiTheme="minorHAnsi" w:hAnsiTheme="minorHAnsi"/>
              </w:rPr>
              <w:t>116</w:t>
            </w:r>
          </w:p>
        </w:tc>
        <w:tc>
          <w:tcPr>
            <w:tcW w:w="1221" w:type="dxa"/>
            <w:shd w:val="clear" w:color="auto" w:fill="A8D08D" w:themeFill="accent6" w:themeFillTint="99"/>
            <w:vAlign w:val="center"/>
          </w:tcPr>
          <w:p w14:paraId="476B12CB" w14:textId="3870AB52" w:rsidR="00854888" w:rsidRPr="00B07D79" w:rsidRDefault="00854888" w:rsidP="00B07D79">
            <w:pPr>
              <w:spacing w:line="276" w:lineRule="auto"/>
              <w:jc w:val="both"/>
              <w:rPr>
                <w:rFonts w:asciiTheme="minorHAnsi" w:hAnsiTheme="minorHAnsi"/>
              </w:rPr>
            </w:pPr>
            <w:r w:rsidRPr="00B07D79">
              <w:rPr>
                <w:rFonts w:asciiTheme="minorHAnsi" w:hAnsiTheme="minorHAnsi"/>
              </w:rPr>
              <w:t>361</w:t>
            </w:r>
          </w:p>
        </w:tc>
        <w:tc>
          <w:tcPr>
            <w:tcW w:w="1327" w:type="dxa"/>
            <w:shd w:val="clear" w:color="auto" w:fill="A8D08D" w:themeFill="accent6" w:themeFillTint="99"/>
            <w:vAlign w:val="center"/>
          </w:tcPr>
          <w:p w14:paraId="71BCD1AE" w14:textId="679299C5" w:rsidR="00854888" w:rsidRPr="00B07D79" w:rsidRDefault="00854888" w:rsidP="00B07D79">
            <w:pPr>
              <w:spacing w:line="276" w:lineRule="auto"/>
              <w:jc w:val="both"/>
              <w:rPr>
                <w:rFonts w:asciiTheme="minorHAnsi" w:hAnsiTheme="minorHAnsi"/>
              </w:rPr>
            </w:pPr>
            <w:r w:rsidRPr="00B07D79">
              <w:rPr>
                <w:rFonts w:asciiTheme="minorHAnsi" w:hAnsiTheme="minorHAnsi"/>
              </w:rPr>
              <w:t>866</w:t>
            </w:r>
          </w:p>
        </w:tc>
        <w:tc>
          <w:tcPr>
            <w:tcW w:w="1206" w:type="dxa"/>
            <w:shd w:val="clear" w:color="auto" w:fill="A8D08D" w:themeFill="accent6" w:themeFillTint="99"/>
            <w:vAlign w:val="center"/>
          </w:tcPr>
          <w:p w14:paraId="73C4FB8A" w14:textId="6D491398" w:rsidR="00854888" w:rsidRPr="00B07D79" w:rsidRDefault="00854888" w:rsidP="00B07D79">
            <w:pPr>
              <w:spacing w:line="276" w:lineRule="auto"/>
              <w:jc w:val="both"/>
              <w:rPr>
                <w:rFonts w:asciiTheme="minorHAnsi" w:hAnsiTheme="minorHAnsi"/>
              </w:rPr>
            </w:pPr>
            <w:r w:rsidRPr="00B07D79">
              <w:rPr>
                <w:rFonts w:asciiTheme="minorHAnsi" w:hAnsiTheme="minorHAnsi"/>
              </w:rPr>
              <w:t>1 366</w:t>
            </w:r>
          </w:p>
        </w:tc>
      </w:tr>
    </w:tbl>
    <w:p w14:paraId="7A598797" w14:textId="3FE6302E" w:rsidR="0001741C" w:rsidRPr="004A18F5" w:rsidRDefault="00216A3A" w:rsidP="009D0E24">
      <w:pPr>
        <w:spacing w:line="276" w:lineRule="auto"/>
        <w:jc w:val="right"/>
        <w:rPr>
          <w:rFonts w:asciiTheme="minorHAnsi" w:hAnsiTheme="minorHAnsi"/>
          <w:i/>
          <w:iCs/>
          <w:color w:val="385623" w:themeColor="accent6" w:themeShade="80"/>
          <w:sz w:val="20"/>
          <w:szCs w:val="22"/>
        </w:rPr>
      </w:pPr>
      <w:r w:rsidRPr="004A18F5">
        <w:rPr>
          <w:rFonts w:asciiTheme="minorHAnsi" w:hAnsiTheme="minorHAnsi"/>
          <w:i/>
          <w:iCs/>
          <w:color w:val="385623" w:themeColor="accent6" w:themeShade="80"/>
          <w:sz w:val="20"/>
          <w:szCs w:val="22"/>
        </w:rPr>
        <w:t>Zdroj: Aktualizace predikce vývoje elektromobility v</w:t>
      </w:r>
      <w:r w:rsidR="00CF2351" w:rsidRPr="004A18F5">
        <w:rPr>
          <w:rFonts w:asciiTheme="minorHAnsi" w:hAnsiTheme="minorHAnsi"/>
          <w:i/>
          <w:iCs/>
          <w:color w:val="385623" w:themeColor="accent6" w:themeShade="80"/>
          <w:sz w:val="20"/>
          <w:szCs w:val="22"/>
        </w:rPr>
        <w:t> </w:t>
      </w:r>
      <w:r w:rsidRPr="004A18F5">
        <w:rPr>
          <w:rFonts w:asciiTheme="minorHAnsi" w:hAnsiTheme="minorHAnsi"/>
          <w:i/>
          <w:iCs/>
          <w:color w:val="385623" w:themeColor="accent6" w:themeShade="80"/>
          <w:sz w:val="20"/>
          <w:szCs w:val="22"/>
        </w:rPr>
        <w:t xml:space="preserve">ČR do roku 2045, </w:t>
      </w:r>
      <w:proofErr w:type="spellStart"/>
      <w:r w:rsidRPr="004A18F5">
        <w:rPr>
          <w:rFonts w:asciiTheme="minorHAnsi" w:hAnsiTheme="minorHAnsi"/>
          <w:i/>
          <w:iCs/>
          <w:color w:val="385623" w:themeColor="accent6" w:themeShade="80"/>
          <w:sz w:val="20"/>
          <w:szCs w:val="22"/>
        </w:rPr>
        <w:t>EuroEnergy</w:t>
      </w:r>
      <w:proofErr w:type="spellEnd"/>
      <w:r w:rsidRPr="004A18F5">
        <w:rPr>
          <w:rFonts w:asciiTheme="minorHAnsi" w:hAnsiTheme="minorHAnsi"/>
          <w:i/>
          <w:iCs/>
          <w:color w:val="385623" w:themeColor="accent6" w:themeShade="80"/>
          <w:sz w:val="20"/>
          <w:szCs w:val="22"/>
        </w:rPr>
        <w:t xml:space="preserve"> (2024</w:t>
      </w:r>
      <w:r w:rsidR="009D0E24" w:rsidRPr="004A18F5">
        <w:rPr>
          <w:rFonts w:asciiTheme="minorHAnsi" w:hAnsiTheme="minorHAnsi"/>
          <w:i/>
          <w:iCs/>
          <w:color w:val="385623" w:themeColor="accent6" w:themeShade="80"/>
          <w:sz w:val="20"/>
          <w:szCs w:val="22"/>
        </w:rPr>
        <w:t>)</w:t>
      </w:r>
    </w:p>
    <w:p w14:paraId="39510F5D" w14:textId="77777777" w:rsidR="00BF2BD1" w:rsidRPr="00B07D79" w:rsidRDefault="00BF2BD1" w:rsidP="0074122A">
      <w:pPr>
        <w:pStyle w:val="Nadpis2"/>
      </w:pPr>
      <w:bookmarkStart w:id="318" w:name="_Toc152329839"/>
      <w:bookmarkStart w:id="319" w:name="_Toc149911231"/>
      <w:bookmarkStart w:id="320" w:name="_Toc159264345"/>
      <w:bookmarkStart w:id="321" w:name="_Toc153208250"/>
      <w:bookmarkStart w:id="322" w:name="_Toc159332178"/>
      <w:bookmarkStart w:id="323" w:name="_Toc159336659"/>
      <w:bookmarkStart w:id="324" w:name="_Toc160021762"/>
      <w:bookmarkStart w:id="325" w:name="_Toc162447452"/>
      <w:bookmarkStart w:id="326" w:name="_Toc173240086"/>
      <w:r w:rsidRPr="00B07D79">
        <w:t>Prognózy vývoje LPG (bioLPG)</w:t>
      </w:r>
      <w:bookmarkEnd w:id="318"/>
      <w:bookmarkEnd w:id="319"/>
      <w:bookmarkEnd w:id="320"/>
      <w:bookmarkEnd w:id="321"/>
      <w:bookmarkEnd w:id="322"/>
      <w:bookmarkEnd w:id="323"/>
      <w:bookmarkEnd w:id="324"/>
      <w:bookmarkEnd w:id="325"/>
      <w:bookmarkEnd w:id="326"/>
    </w:p>
    <w:p w14:paraId="75C72F82" w14:textId="77777777" w:rsidR="00BF2BD1" w:rsidRPr="00516C35" w:rsidRDefault="00BF2BD1" w:rsidP="00B07D79">
      <w:pPr>
        <w:spacing w:line="276" w:lineRule="auto"/>
        <w:jc w:val="both"/>
        <w:rPr>
          <w:rFonts w:asciiTheme="minorHAnsi" w:hAnsiTheme="minorHAnsi"/>
          <w:color w:val="385623" w:themeColor="accent6" w:themeShade="80"/>
        </w:rPr>
      </w:pPr>
      <w:r w:rsidRPr="00516C35">
        <w:rPr>
          <w:rFonts w:asciiTheme="minorHAnsi" w:hAnsiTheme="minorHAnsi"/>
          <w:color w:val="385623" w:themeColor="accent6" w:themeShade="80"/>
          <w:sz w:val="24"/>
        </w:rPr>
        <w:t>Východiska</w:t>
      </w:r>
    </w:p>
    <w:p w14:paraId="01267731" w14:textId="3D0D0BFD" w:rsidR="00BF2BD1" w:rsidRPr="00B07D79" w:rsidRDefault="00BF2BD1" w:rsidP="00B07D79">
      <w:pPr>
        <w:spacing w:line="276" w:lineRule="auto"/>
        <w:jc w:val="both"/>
        <w:rPr>
          <w:rFonts w:asciiTheme="minorHAnsi" w:hAnsiTheme="minorHAnsi"/>
          <w:sz w:val="24"/>
        </w:rPr>
      </w:pPr>
      <w:r w:rsidRPr="00B07D79">
        <w:rPr>
          <w:rFonts w:asciiTheme="minorHAnsi" w:hAnsiTheme="minorHAnsi"/>
          <w:iCs/>
        </w:rPr>
        <w:t>Národní akční plán čisté mobility se ve své prvé verzi věnoval LPG pouze okrajově, a</w:t>
      </w:r>
      <w:r w:rsidR="00CF2351" w:rsidRPr="00B07D79">
        <w:rPr>
          <w:rFonts w:asciiTheme="minorHAnsi" w:hAnsiTheme="minorHAnsi"/>
          <w:iCs/>
        </w:rPr>
        <w:t> </w:t>
      </w:r>
      <w:r w:rsidRPr="00B07D79">
        <w:rPr>
          <w:rFonts w:asciiTheme="minorHAnsi" w:hAnsiTheme="minorHAnsi"/>
          <w:iCs/>
        </w:rPr>
        <w:t>to</w:t>
      </w:r>
      <w:r w:rsidR="00422864" w:rsidRPr="00B07D79">
        <w:rPr>
          <w:rFonts w:asciiTheme="minorHAnsi" w:hAnsiTheme="minorHAnsi"/>
          <w:iCs/>
        </w:rPr>
        <w:t> </w:t>
      </w:r>
      <w:r w:rsidRPr="00B07D79">
        <w:rPr>
          <w:rFonts w:asciiTheme="minorHAnsi" w:hAnsiTheme="minorHAnsi"/>
          <w:iCs/>
        </w:rPr>
        <w:t>především proto, že hlavním cílem této verze bylo naplnění požadavků DAFI, tedy rozvoj infrastruktury nových alternativních paliv (zemní plyn, elektřina, vodík). Ve své druhé verzi se</w:t>
      </w:r>
      <w:r w:rsidR="00422864" w:rsidRPr="00B07D79">
        <w:rPr>
          <w:rFonts w:asciiTheme="minorHAnsi" w:hAnsiTheme="minorHAnsi"/>
          <w:iCs/>
        </w:rPr>
        <w:t> </w:t>
      </w:r>
      <w:r w:rsidRPr="00B07D79">
        <w:rPr>
          <w:rFonts w:asciiTheme="minorHAnsi" w:hAnsiTheme="minorHAnsi"/>
          <w:iCs/>
        </w:rPr>
        <w:t>NAP</w:t>
      </w:r>
      <w:r w:rsidR="00774046" w:rsidRPr="00B07D79">
        <w:rPr>
          <w:rFonts w:asciiTheme="minorHAnsi" w:hAnsiTheme="minorHAnsi"/>
          <w:iCs/>
        </w:rPr>
        <w:t xml:space="preserve"> C</w:t>
      </w:r>
      <w:r w:rsidRPr="00B07D79">
        <w:rPr>
          <w:rFonts w:asciiTheme="minorHAnsi" w:hAnsiTheme="minorHAnsi"/>
          <w:iCs/>
        </w:rPr>
        <w:t>M posunul více k</w:t>
      </w:r>
      <w:r w:rsidR="00CF2351" w:rsidRPr="00B07D79">
        <w:rPr>
          <w:rFonts w:asciiTheme="minorHAnsi" w:hAnsiTheme="minorHAnsi"/>
          <w:iCs/>
        </w:rPr>
        <w:t> </w:t>
      </w:r>
      <w:r w:rsidRPr="00B07D79">
        <w:rPr>
          <w:rFonts w:asciiTheme="minorHAnsi" w:hAnsiTheme="minorHAnsi"/>
          <w:iCs/>
        </w:rPr>
        <w:t xml:space="preserve">naplnění svého jména </w:t>
      </w:r>
      <w:r w:rsidR="00774046" w:rsidRPr="00B07D79">
        <w:rPr>
          <w:rFonts w:asciiTheme="minorHAnsi" w:hAnsiTheme="minorHAnsi"/>
          <w:iCs/>
        </w:rPr>
        <w:t>a</w:t>
      </w:r>
      <w:r w:rsidR="00CF2351" w:rsidRPr="00B07D79">
        <w:rPr>
          <w:rFonts w:asciiTheme="minorHAnsi" w:hAnsiTheme="minorHAnsi"/>
          <w:iCs/>
        </w:rPr>
        <w:t> </w:t>
      </w:r>
      <w:r w:rsidR="00774046" w:rsidRPr="00B07D79">
        <w:rPr>
          <w:rFonts w:asciiTheme="minorHAnsi" w:hAnsiTheme="minorHAnsi"/>
          <w:iCs/>
        </w:rPr>
        <w:t>pokusil</w:t>
      </w:r>
      <w:r w:rsidRPr="00B07D79">
        <w:rPr>
          <w:rFonts w:asciiTheme="minorHAnsi" w:hAnsiTheme="minorHAnsi"/>
          <w:iCs/>
        </w:rPr>
        <w:t xml:space="preserve"> se obsáhnout mnohem širší spektrum paliv, která vedou a</w:t>
      </w:r>
      <w:r w:rsidR="00CF2351" w:rsidRPr="00B07D79">
        <w:rPr>
          <w:rFonts w:asciiTheme="minorHAnsi" w:hAnsiTheme="minorHAnsi"/>
          <w:iCs/>
        </w:rPr>
        <w:t> </w:t>
      </w:r>
      <w:r w:rsidRPr="00B07D79">
        <w:rPr>
          <w:rFonts w:asciiTheme="minorHAnsi" w:hAnsiTheme="minorHAnsi"/>
          <w:iCs/>
        </w:rPr>
        <w:t>povedou ke snižování emisí v</w:t>
      </w:r>
      <w:r w:rsidR="00CF2351" w:rsidRPr="00B07D79">
        <w:rPr>
          <w:rFonts w:asciiTheme="minorHAnsi" w:hAnsiTheme="minorHAnsi"/>
          <w:iCs/>
        </w:rPr>
        <w:t> </w:t>
      </w:r>
      <w:r w:rsidRPr="00B07D79">
        <w:rPr>
          <w:rFonts w:asciiTheme="minorHAnsi" w:hAnsiTheme="minorHAnsi"/>
          <w:iCs/>
        </w:rPr>
        <w:t>dopravě. Díky tomu se v</w:t>
      </w:r>
      <w:r w:rsidR="00CF2351" w:rsidRPr="00B07D79">
        <w:rPr>
          <w:rFonts w:asciiTheme="minorHAnsi" w:hAnsiTheme="minorHAnsi"/>
          <w:iCs/>
        </w:rPr>
        <w:t> </w:t>
      </w:r>
      <w:r w:rsidRPr="00B07D79">
        <w:rPr>
          <w:rFonts w:asciiTheme="minorHAnsi" w:hAnsiTheme="minorHAnsi"/>
          <w:iCs/>
        </w:rPr>
        <w:t>něm poprvé objevilo LPG (resp. bioLPG).</w:t>
      </w:r>
      <w:r w:rsidR="004E5307" w:rsidRPr="00B07D79">
        <w:rPr>
          <w:rFonts w:asciiTheme="minorHAnsi" w:hAnsiTheme="minorHAnsi"/>
          <w:iCs/>
        </w:rPr>
        <w:t xml:space="preserve"> </w:t>
      </w:r>
    </w:p>
    <w:p w14:paraId="3BB73D83" w14:textId="4AAF9402" w:rsidR="00BF2BD1" w:rsidRPr="00516C35" w:rsidRDefault="00BF2BD1" w:rsidP="00B07D79">
      <w:pPr>
        <w:spacing w:line="276" w:lineRule="auto"/>
        <w:jc w:val="both"/>
        <w:rPr>
          <w:rFonts w:asciiTheme="minorHAnsi" w:hAnsiTheme="minorHAnsi"/>
          <w:color w:val="385623" w:themeColor="accent6" w:themeShade="80"/>
        </w:rPr>
      </w:pPr>
      <w:r w:rsidRPr="00516C35">
        <w:rPr>
          <w:rFonts w:asciiTheme="minorHAnsi" w:hAnsiTheme="minorHAnsi"/>
          <w:color w:val="385623" w:themeColor="accent6" w:themeShade="80"/>
          <w:sz w:val="24"/>
        </w:rPr>
        <w:lastRenderedPageBreak/>
        <w:t>Současný stav a</w:t>
      </w:r>
      <w:r w:rsidR="00CF2351" w:rsidRPr="00516C35">
        <w:rPr>
          <w:rFonts w:asciiTheme="minorHAnsi" w:hAnsiTheme="minorHAnsi"/>
          <w:color w:val="385623" w:themeColor="accent6" w:themeShade="80"/>
          <w:sz w:val="24"/>
        </w:rPr>
        <w:t> </w:t>
      </w:r>
      <w:r w:rsidRPr="00516C35">
        <w:rPr>
          <w:rFonts w:asciiTheme="minorHAnsi" w:hAnsiTheme="minorHAnsi"/>
          <w:color w:val="385623" w:themeColor="accent6" w:themeShade="80"/>
          <w:sz w:val="24"/>
        </w:rPr>
        <w:t>predikce vývoje</w:t>
      </w:r>
    </w:p>
    <w:p w14:paraId="7FBF9298" w14:textId="5AEB5C6A" w:rsidR="00BF2BD1" w:rsidRPr="00B07D79" w:rsidRDefault="00BF2BD1" w:rsidP="00B07D79">
      <w:pPr>
        <w:spacing w:line="276" w:lineRule="auto"/>
        <w:jc w:val="both"/>
        <w:rPr>
          <w:rFonts w:asciiTheme="minorHAnsi" w:hAnsiTheme="minorHAnsi"/>
        </w:rPr>
      </w:pPr>
      <w:r w:rsidRPr="00B07D79">
        <w:rPr>
          <w:rFonts w:asciiTheme="minorHAnsi" w:hAnsiTheme="minorHAnsi"/>
        </w:rPr>
        <w:t>LPG je v</w:t>
      </w:r>
      <w:r w:rsidR="00CF2351" w:rsidRPr="00B07D79">
        <w:rPr>
          <w:rFonts w:asciiTheme="minorHAnsi" w:hAnsiTheme="minorHAnsi"/>
        </w:rPr>
        <w:t> </w:t>
      </w:r>
      <w:r w:rsidRPr="00B07D79">
        <w:rPr>
          <w:rFonts w:asciiTheme="minorHAnsi" w:hAnsiTheme="minorHAnsi"/>
        </w:rPr>
        <w:t>aktuálně nejrozšířenějším alternativním pohonem na tuzemském trhu s</w:t>
      </w:r>
      <w:r w:rsidR="00CF2351" w:rsidRPr="00B07D79">
        <w:rPr>
          <w:rFonts w:asciiTheme="minorHAnsi" w:hAnsiTheme="minorHAnsi"/>
        </w:rPr>
        <w:t> </w:t>
      </w:r>
      <w:r w:rsidRPr="00B07D79">
        <w:rPr>
          <w:rFonts w:asciiTheme="minorHAnsi" w:hAnsiTheme="minorHAnsi"/>
        </w:rPr>
        <w:t>největší sítí čerpacích a</w:t>
      </w:r>
      <w:r w:rsidR="00CF2351" w:rsidRPr="00B07D79">
        <w:rPr>
          <w:rFonts w:asciiTheme="minorHAnsi" w:hAnsiTheme="minorHAnsi"/>
        </w:rPr>
        <w:t> </w:t>
      </w:r>
      <w:r w:rsidRPr="00B07D79">
        <w:rPr>
          <w:rFonts w:asciiTheme="minorHAnsi" w:hAnsiTheme="minorHAnsi"/>
        </w:rPr>
        <w:t>servisních stanic. Fosilní LPG, které je směsí plynných uhlovodíků, především propanu a</w:t>
      </w:r>
      <w:r w:rsidR="00CF2351" w:rsidRPr="00B07D79">
        <w:rPr>
          <w:rFonts w:asciiTheme="minorHAnsi" w:hAnsiTheme="minorHAnsi"/>
        </w:rPr>
        <w:t> </w:t>
      </w:r>
      <w:r w:rsidRPr="00B07D79">
        <w:rPr>
          <w:rFonts w:asciiTheme="minorHAnsi" w:hAnsiTheme="minorHAnsi"/>
        </w:rPr>
        <w:t>butanu, se získává při těžbě zemního plynu nebo v</w:t>
      </w:r>
      <w:r w:rsidR="00CF2351" w:rsidRPr="00B07D79">
        <w:rPr>
          <w:rFonts w:asciiTheme="minorHAnsi" w:hAnsiTheme="minorHAnsi"/>
        </w:rPr>
        <w:t> </w:t>
      </w:r>
      <w:r w:rsidRPr="00B07D79">
        <w:rPr>
          <w:rFonts w:asciiTheme="minorHAnsi" w:hAnsiTheme="minorHAnsi"/>
        </w:rPr>
        <w:t>průběhu rafinace ropy. Proto při</w:t>
      </w:r>
      <w:r w:rsidR="006C4087" w:rsidRPr="00B07D79">
        <w:rPr>
          <w:rFonts w:asciiTheme="minorHAnsi" w:hAnsiTheme="minorHAnsi"/>
        </w:rPr>
        <w:t> </w:t>
      </w:r>
      <w:r w:rsidRPr="00B07D79">
        <w:rPr>
          <w:rFonts w:asciiTheme="minorHAnsi" w:hAnsiTheme="minorHAnsi"/>
        </w:rPr>
        <w:t>jakékoliv změně poměru tradičních fosilních zdrojů (zemní plyn – ropa) bude jakožto vedlejší produkt stále vznikat v</w:t>
      </w:r>
      <w:r w:rsidR="00CF2351" w:rsidRPr="00B07D79">
        <w:rPr>
          <w:rFonts w:asciiTheme="minorHAnsi" w:hAnsiTheme="minorHAnsi"/>
        </w:rPr>
        <w:t> </w:t>
      </w:r>
      <w:r w:rsidRPr="00B07D79">
        <w:rPr>
          <w:rFonts w:asciiTheme="minorHAnsi" w:hAnsiTheme="minorHAnsi"/>
        </w:rPr>
        <w:t>podobné míře a</w:t>
      </w:r>
      <w:r w:rsidR="00CF2351" w:rsidRPr="00B07D79">
        <w:rPr>
          <w:rFonts w:asciiTheme="minorHAnsi" w:hAnsiTheme="minorHAnsi"/>
        </w:rPr>
        <w:t> </w:t>
      </w:r>
      <w:r w:rsidRPr="00B07D79">
        <w:rPr>
          <w:rFonts w:asciiTheme="minorHAnsi" w:hAnsiTheme="minorHAnsi"/>
        </w:rPr>
        <w:t>nehrozí snižování jeho dostupnosti.</w:t>
      </w:r>
    </w:p>
    <w:p w14:paraId="7367CBE0" w14:textId="2F47E727" w:rsidR="00BF2BD1" w:rsidRPr="00B07D79" w:rsidRDefault="00BF2BD1" w:rsidP="00B07D79">
      <w:pPr>
        <w:spacing w:line="276" w:lineRule="auto"/>
        <w:jc w:val="both"/>
        <w:rPr>
          <w:rFonts w:asciiTheme="minorHAnsi" w:hAnsiTheme="minorHAnsi"/>
          <w:color w:val="FF0000"/>
        </w:rPr>
      </w:pPr>
      <w:r w:rsidRPr="00B07D79">
        <w:rPr>
          <w:rFonts w:asciiTheme="minorHAnsi" w:hAnsiTheme="minorHAnsi"/>
        </w:rPr>
        <w:t xml:space="preserve">Dle studie </w:t>
      </w:r>
      <w:r w:rsidRPr="00B07D79">
        <w:rPr>
          <w:rFonts w:asciiTheme="minorHAnsi" w:hAnsiTheme="minorHAnsi"/>
          <w:lang w:val="en-GB"/>
        </w:rPr>
        <w:t xml:space="preserve">Atlantic Consulting </w:t>
      </w:r>
      <w:r w:rsidRPr="00B07D79">
        <w:rPr>
          <w:rFonts w:asciiTheme="minorHAnsi" w:hAnsiTheme="minorHAnsi"/>
        </w:rPr>
        <w:t>(švýcarská poradenská firma zabývající se posuzováním vlivu technologií na životní prostředí) je při použití LPG jakožto paliva v</w:t>
      </w:r>
      <w:r w:rsidR="00CF2351" w:rsidRPr="00B07D79">
        <w:rPr>
          <w:rFonts w:asciiTheme="minorHAnsi" w:hAnsiTheme="minorHAnsi"/>
        </w:rPr>
        <w:t> </w:t>
      </w:r>
      <w:r w:rsidRPr="00B07D79">
        <w:rPr>
          <w:rFonts w:asciiTheme="minorHAnsi" w:hAnsiTheme="minorHAnsi"/>
        </w:rPr>
        <w:t xml:space="preserve">dopravě vyprodukováno méně skleníkových plynů na jednotku ujeté </w:t>
      </w:r>
      <w:r w:rsidR="00774046" w:rsidRPr="00B07D79">
        <w:rPr>
          <w:rFonts w:asciiTheme="minorHAnsi" w:hAnsiTheme="minorHAnsi"/>
        </w:rPr>
        <w:t>vzdálenosti</w:t>
      </w:r>
      <w:r w:rsidRPr="00B07D79">
        <w:rPr>
          <w:rFonts w:asciiTheme="minorHAnsi" w:hAnsiTheme="minorHAnsi"/>
        </w:rPr>
        <w:t xml:space="preserve"> </w:t>
      </w:r>
      <w:r w:rsidR="006F34B6" w:rsidRPr="00B07D79">
        <w:rPr>
          <w:rFonts w:asciiTheme="minorHAnsi" w:hAnsiTheme="minorHAnsi"/>
        </w:rPr>
        <w:t>než</w:t>
      </w:r>
      <w:r w:rsidRPr="00B07D79">
        <w:rPr>
          <w:rFonts w:asciiTheme="minorHAnsi" w:hAnsiTheme="minorHAnsi"/>
        </w:rPr>
        <w:t xml:space="preserve"> při použití benzinu, nafty nebo</w:t>
      </w:r>
      <w:r w:rsidR="00422864" w:rsidRPr="00B07D79">
        <w:rPr>
          <w:rFonts w:asciiTheme="minorHAnsi" w:hAnsiTheme="minorHAnsi"/>
        </w:rPr>
        <w:t> </w:t>
      </w:r>
      <w:r w:rsidRPr="00B07D79">
        <w:rPr>
          <w:rFonts w:asciiTheme="minorHAnsi" w:hAnsiTheme="minorHAnsi"/>
        </w:rPr>
        <w:t>zemního plynu. Kromě toho LPG produkuje také minimum ostatních relevantních škodlivých látek. Ke stejným závěrům opakovaně došla i</w:t>
      </w:r>
      <w:r w:rsidR="00CF2351" w:rsidRPr="00B07D79">
        <w:rPr>
          <w:rFonts w:asciiTheme="minorHAnsi" w:hAnsiTheme="minorHAnsi"/>
        </w:rPr>
        <w:t> </w:t>
      </w:r>
      <w:r w:rsidRPr="00B07D79">
        <w:rPr>
          <w:rFonts w:asciiTheme="minorHAnsi" w:hAnsiTheme="minorHAnsi"/>
        </w:rPr>
        <w:t xml:space="preserve">studie </w:t>
      </w:r>
      <w:r w:rsidRPr="00B07D79">
        <w:rPr>
          <w:rFonts w:asciiTheme="minorHAnsi" w:hAnsiTheme="minorHAnsi"/>
          <w:lang w:val="en-GB"/>
        </w:rPr>
        <w:t>Well to Wheel Analysis of Future Automotive Fuels and Powertrains in the European Context</w:t>
      </w:r>
      <w:r w:rsidRPr="00B07D79">
        <w:rPr>
          <w:rFonts w:asciiTheme="minorHAnsi" w:hAnsiTheme="minorHAnsi"/>
        </w:rPr>
        <w:t xml:space="preserve"> (Joint </w:t>
      </w:r>
      <w:r w:rsidRPr="00B07D79">
        <w:rPr>
          <w:rFonts w:asciiTheme="minorHAnsi" w:hAnsiTheme="minorHAnsi"/>
          <w:lang w:val="en-GB"/>
        </w:rPr>
        <w:t>Research C</w:t>
      </w:r>
      <w:proofErr w:type="spellStart"/>
      <w:r w:rsidRPr="00B07D79">
        <w:rPr>
          <w:rFonts w:asciiTheme="minorHAnsi" w:hAnsiTheme="minorHAnsi"/>
        </w:rPr>
        <w:t>entre</w:t>
      </w:r>
      <w:proofErr w:type="spellEnd"/>
      <w:r w:rsidRPr="00B07D79">
        <w:rPr>
          <w:rFonts w:asciiTheme="minorHAnsi" w:hAnsiTheme="minorHAnsi"/>
        </w:rPr>
        <w:t xml:space="preserve">, </w:t>
      </w:r>
      <w:r w:rsidRPr="00B07D79">
        <w:rPr>
          <w:rFonts w:asciiTheme="minorHAnsi" w:hAnsiTheme="minorHAnsi"/>
          <w:lang w:val="en-GB"/>
        </w:rPr>
        <w:t>European Commission, Institute for Energy a</w:t>
      </w:r>
      <w:proofErr w:type="spellStart"/>
      <w:r w:rsidRPr="00B07D79">
        <w:rPr>
          <w:rFonts w:asciiTheme="minorHAnsi" w:hAnsiTheme="minorHAnsi"/>
        </w:rPr>
        <w:t>nd</w:t>
      </w:r>
      <w:proofErr w:type="spellEnd"/>
      <w:r w:rsidRPr="00B07D79">
        <w:rPr>
          <w:rFonts w:asciiTheme="minorHAnsi" w:hAnsiTheme="minorHAnsi"/>
        </w:rPr>
        <w:t xml:space="preserve"> Transport, 2014) Graf 3.2.2.2.1 zobrazuje typický výsledek při testu </w:t>
      </w:r>
      <w:r w:rsidR="006C531D" w:rsidRPr="00B07D79">
        <w:rPr>
          <w:rFonts w:asciiTheme="minorHAnsi" w:hAnsiTheme="minorHAnsi"/>
        </w:rPr>
        <w:t>modelů Alfa</w:t>
      </w:r>
      <w:r w:rsidRPr="00B07D79">
        <w:rPr>
          <w:rFonts w:asciiTheme="minorHAnsi" w:hAnsiTheme="minorHAnsi"/>
        </w:rPr>
        <w:t xml:space="preserve"> Rome</w:t>
      </w:r>
      <w:r w:rsidR="006C531D" w:rsidRPr="00B07D79">
        <w:rPr>
          <w:rFonts w:asciiTheme="minorHAnsi" w:hAnsiTheme="minorHAnsi"/>
        </w:rPr>
        <w:t>o</w:t>
      </w:r>
      <w:r w:rsidRPr="00B07D79">
        <w:rPr>
          <w:rFonts w:asciiTheme="minorHAnsi" w:hAnsiTheme="minorHAnsi"/>
          <w:lang w:val="en-GB"/>
        </w:rPr>
        <w:t xml:space="preserve"> Mito, Š</w:t>
      </w:r>
      <w:proofErr w:type="spellStart"/>
      <w:r w:rsidRPr="00B07D79">
        <w:rPr>
          <w:rFonts w:asciiTheme="minorHAnsi" w:hAnsiTheme="minorHAnsi"/>
        </w:rPr>
        <w:t>koda</w:t>
      </w:r>
      <w:proofErr w:type="spellEnd"/>
      <w:r w:rsidRPr="00B07D79">
        <w:rPr>
          <w:rFonts w:asciiTheme="minorHAnsi" w:hAnsiTheme="minorHAnsi"/>
        </w:rPr>
        <w:t xml:space="preserve"> Octavia, Fiat 500 L, Kia </w:t>
      </w:r>
      <w:r w:rsidRPr="00B07D79">
        <w:rPr>
          <w:rFonts w:asciiTheme="minorHAnsi" w:hAnsiTheme="minorHAnsi"/>
          <w:lang w:val="en-GB"/>
        </w:rPr>
        <w:t xml:space="preserve">Sportage </w:t>
      </w:r>
      <w:r w:rsidRPr="00B07D79">
        <w:rPr>
          <w:rFonts w:asciiTheme="minorHAnsi" w:hAnsiTheme="minorHAnsi"/>
        </w:rPr>
        <w:t>a</w:t>
      </w:r>
      <w:r w:rsidR="00CF2351" w:rsidRPr="00B07D79">
        <w:rPr>
          <w:rFonts w:asciiTheme="minorHAnsi" w:hAnsiTheme="minorHAnsi"/>
        </w:rPr>
        <w:t> </w:t>
      </w:r>
      <w:r w:rsidRPr="00B07D79">
        <w:rPr>
          <w:rFonts w:asciiTheme="minorHAnsi" w:hAnsiTheme="minorHAnsi"/>
        </w:rPr>
        <w:t>Opel Astra v</w:t>
      </w:r>
      <w:r w:rsidR="00CF2351" w:rsidRPr="00B07D79">
        <w:rPr>
          <w:rFonts w:asciiTheme="minorHAnsi" w:hAnsiTheme="minorHAnsi"/>
        </w:rPr>
        <w:t> </w:t>
      </w:r>
      <w:r w:rsidRPr="00B07D79">
        <w:rPr>
          <w:rFonts w:asciiTheme="minorHAnsi" w:hAnsiTheme="minorHAnsi"/>
        </w:rPr>
        <w:t>letech 2015 a</w:t>
      </w:r>
      <w:r w:rsidR="00CF2351" w:rsidRPr="00B07D79">
        <w:rPr>
          <w:rFonts w:asciiTheme="minorHAnsi" w:hAnsiTheme="minorHAnsi"/>
        </w:rPr>
        <w:t> </w:t>
      </w:r>
      <w:r w:rsidRPr="00B07D79">
        <w:rPr>
          <w:rFonts w:asciiTheme="minorHAnsi" w:hAnsiTheme="minorHAnsi"/>
        </w:rPr>
        <w:t>2016. U</w:t>
      </w:r>
      <w:r w:rsidR="00CF2351" w:rsidRPr="00B07D79">
        <w:rPr>
          <w:rFonts w:asciiTheme="minorHAnsi" w:hAnsiTheme="minorHAnsi"/>
        </w:rPr>
        <w:t> </w:t>
      </w:r>
      <w:r w:rsidRPr="00B07D79">
        <w:rPr>
          <w:rFonts w:asciiTheme="minorHAnsi" w:hAnsiTheme="minorHAnsi"/>
        </w:rPr>
        <w:t>všech testovaných vozů se po celou dobu ukládala data z</w:t>
      </w:r>
      <w:r w:rsidR="00CF2351" w:rsidRPr="00B07D79">
        <w:rPr>
          <w:rFonts w:asciiTheme="minorHAnsi" w:hAnsiTheme="minorHAnsi"/>
        </w:rPr>
        <w:t> </w:t>
      </w:r>
      <w:r w:rsidRPr="00B07D79">
        <w:rPr>
          <w:rFonts w:asciiTheme="minorHAnsi" w:hAnsiTheme="minorHAnsi"/>
        </w:rPr>
        <w:t>nainstalovaného analyzátoru spalin, průtokoměru, GPS modulu, řídící jednotky vozu a</w:t>
      </w:r>
      <w:r w:rsidR="00CF2351" w:rsidRPr="00B07D79">
        <w:rPr>
          <w:rFonts w:asciiTheme="minorHAnsi" w:hAnsiTheme="minorHAnsi"/>
        </w:rPr>
        <w:t> </w:t>
      </w:r>
      <w:r w:rsidRPr="00B07D79">
        <w:rPr>
          <w:rFonts w:asciiTheme="minorHAnsi" w:hAnsiTheme="minorHAnsi"/>
        </w:rPr>
        <w:t xml:space="preserve">meteostanice. Ze schématu je zřejmé, že náhrada benzínového pohonu pohonem LPG přináší emisní úspory ve všech hlavních sledovaných parametrech. </w:t>
      </w:r>
    </w:p>
    <w:p w14:paraId="7005378C" w14:textId="51072FED" w:rsidR="00BF2BD1" w:rsidRPr="00516C35" w:rsidRDefault="00BF2BD1" w:rsidP="00B07D79">
      <w:pPr>
        <w:pStyle w:val="Titulek"/>
        <w:keepNext/>
        <w:spacing w:line="276" w:lineRule="auto"/>
        <w:jc w:val="both"/>
        <w:rPr>
          <w:rFonts w:asciiTheme="minorHAnsi" w:hAnsiTheme="minorHAnsi"/>
          <w:b w:val="0"/>
          <w:bCs w:val="0"/>
          <w:color w:val="385623" w:themeColor="accent6" w:themeShade="80"/>
        </w:rPr>
      </w:pPr>
      <w:r w:rsidRPr="00516C35">
        <w:rPr>
          <w:rFonts w:asciiTheme="minorHAnsi" w:hAnsiTheme="minorHAnsi"/>
          <w:b w:val="0"/>
          <w:bCs w:val="0"/>
          <w:color w:val="385623" w:themeColor="accent6" w:themeShade="80"/>
        </w:rPr>
        <w:t xml:space="preserve">Obrázek </w:t>
      </w:r>
      <w:r w:rsidR="007D4BC4" w:rsidRPr="00516C35">
        <w:rPr>
          <w:rFonts w:asciiTheme="minorHAnsi" w:hAnsiTheme="minorHAnsi"/>
          <w:b w:val="0"/>
          <w:bCs w:val="0"/>
          <w:color w:val="385623" w:themeColor="accent6" w:themeShade="80"/>
        </w:rPr>
        <w:t xml:space="preserve">35 </w:t>
      </w:r>
      <w:r w:rsidRPr="00516C35">
        <w:rPr>
          <w:rFonts w:asciiTheme="minorHAnsi" w:hAnsiTheme="minorHAnsi"/>
          <w:b w:val="0"/>
          <w:bCs w:val="0"/>
          <w:color w:val="385623" w:themeColor="accent6" w:themeShade="80"/>
        </w:rPr>
        <w:t>Typický výsledek porovnání emisí u</w:t>
      </w:r>
      <w:r w:rsidR="00CF2351" w:rsidRPr="00516C35">
        <w:rPr>
          <w:rFonts w:asciiTheme="minorHAnsi" w:hAnsiTheme="minorHAnsi"/>
          <w:b w:val="0"/>
          <w:bCs w:val="0"/>
          <w:color w:val="385623" w:themeColor="accent6" w:themeShade="80"/>
        </w:rPr>
        <w:t> </w:t>
      </w:r>
      <w:r w:rsidRPr="00516C35">
        <w:rPr>
          <w:rFonts w:asciiTheme="minorHAnsi" w:hAnsiTheme="minorHAnsi"/>
          <w:b w:val="0"/>
          <w:bCs w:val="0"/>
          <w:color w:val="385623" w:themeColor="accent6" w:themeShade="80"/>
        </w:rPr>
        <w:t>jednoho vozu v</w:t>
      </w:r>
      <w:r w:rsidR="00CF2351" w:rsidRPr="00516C35">
        <w:rPr>
          <w:rFonts w:asciiTheme="minorHAnsi" w:hAnsiTheme="minorHAnsi"/>
          <w:b w:val="0"/>
          <w:bCs w:val="0"/>
          <w:color w:val="385623" w:themeColor="accent6" w:themeShade="80"/>
        </w:rPr>
        <w:t> </w:t>
      </w:r>
      <w:r w:rsidRPr="00516C35">
        <w:rPr>
          <w:rFonts w:asciiTheme="minorHAnsi" w:hAnsiTheme="minorHAnsi"/>
          <w:b w:val="0"/>
          <w:bCs w:val="0"/>
          <w:color w:val="385623" w:themeColor="accent6" w:themeShade="80"/>
        </w:rPr>
        <w:t>závislosti na pohonu</w:t>
      </w:r>
    </w:p>
    <w:p w14:paraId="1330FAB6"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6F9B3A22" wp14:editId="311223BD">
            <wp:extent cx="4347720" cy="2111079"/>
            <wp:effectExtent l="0" t="0" r="0" b="3810"/>
            <wp:docPr id="1553503306" name="Obrázek 155350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 emise u jednoho auta.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68026" cy="2120939"/>
                    </a:xfrm>
                    <a:prstGeom prst="rect">
                      <a:avLst/>
                    </a:prstGeom>
                  </pic:spPr>
                </pic:pic>
              </a:graphicData>
            </a:graphic>
          </wp:inline>
        </w:drawing>
      </w:r>
    </w:p>
    <w:p w14:paraId="590ECD8A" w14:textId="77777777" w:rsidR="00BF2BD1" w:rsidRPr="00B07D79" w:rsidRDefault="00BF2BD1" w:rsidP="00B07D79">
      <w:pPr>
        <w:spacing w:line="276" w:lineRule="auto"/>
        <w:jc w:val="both"/>
        <w:rPr>
          <w:rFonts w:asciiTheme="minorHAnsi" w:hAnsiTheme="minorHAnsi"/>
        </w:rPr>
      </w:pPr>
    </w:p>
    <w:p w14:paraId="27F01488" w14:textId="7CD33AE9" w:rsidR="00BF2BD1" w:rsidRDefault="00BF2BD1" w:rsidP="00B07D79">
      <w:pPr>
        <w:spacing w:line="276" w:lineRule="auto"/>
        <w:jc w:val="both"/>
        <w:rPr>
          <w:rFonts w:asciiTheme="minorHAnsi" w:hAnsiTheme="minorHAnsi"/>
        </w:rPr>
      </w:pPr>
      <w:r w:rsidRPr="00B07D79">
        <w:rPr>
          <w:rFonts w:asciiTheme="minorHAnsi" w:hAnsiTheme="minorHAnsi"/>
        </w:rPr>
        <w:t>Typickým uživatelem LPG je vlastník přestavěného staršího benzínového vozu. Tato sociální skupina provozuje významné množství starších a</w:t>
      </w:r>
      <w:r w:rsidR="00CF2351" w:rsidRPr="00B07D79">
        <w:rPr>
          <w:rFonts w:asciiTheme="minorHAnsi" w:hAnsiTheme="minorHAnsi"/>
        </w:rPr>
        <w:t> </w:t>
      </w:r>
      <w:r w:rsidRPr="00B07D79">
        <w:rPr>
          <w:rFonts w:asciiTheme="minorHAnsi" w:hAnsiTheme="minorHAnsi"/>
        </w:rPr>
        <w:t>emisně horších vozů podílejících se značnou měrou na celkovém znečištění ovzduší způsobeném dopravou. Podle vyjádření MŽP ČR jde</w:t>
      </w:r>
      <w:r w:rsidR="00422864" w:rsidRPr="00B07D79">
        <w:rPr>
          <w:rFonts w:asciiTheme="minorHAnsi" w:hAnsiTheme="minorHAnsi"/>
        </w:rPr>
        <w:t> </w:t>
      </w:r>
      <w:r w:rsidRPr="00B07D79">
        <w:rPr>
          <w:rFonts w:asciiTheme="minorHAnsi" w:hAnsiTheme="minorHAnsi"/>
        </w:rPr>
        <w:t>až o</w:t>
      </w:r>
      <w:r w:rsidR="00CF2351" w:rsidRPr="00B07D79">
        <w:rPr>
          <w:rFonts w:asciiTheme="minorHAnsi" w:hAnsiTheme="minorHAnsi"/>
        </w:rPr>
        <w:t> </w:t>
      </w:r>
      <w:r w:rsidRPr="00B07D79">
        <w:rPr>
          <w:rFonts w:asciiTheme="minorHAnsi" w:hAnsiTheme="minorHAnsi"/>
        </w:rPr>
        <w:t>70</w:t>
      </w:r>
      <w:r w:rsidR="005407E7" w:rsidRPr="00B07D79">
        <w:rPr>
          <w:rFonts w:asciiTheme="minorHAnsi" w:hAnsiTheme="minorHAnsi"/>
        </w:rPr>
        <w:t xml:space="preserve"> </w:t>
      </w:r>
      <w:r w:rsidRPr="00B07D79">
        <w:rPr>
          <w:rFonts w:asciiTheme="minorHAnsi" w:hAnsiTheme="minorHAnsi"/>
        </w:rPr>
        <w:t>% všech emisí z</w:t>
      </w:r>
      <w:r w:rsidR="00CF2351" w:rsidRPr="00B07D79">
        <w:rPr>
          <w:rFonts w:asciiTheme="minorHAnsi" w:hAnsiTheme="minorHAnsi"/>
        </w:rPr>
        <w:t> </w:t>
      </w:r>
      <w:r w:rsidRPr="00B07D79">
        <w:rPr>
          <w:rFonts w:asciiTheme="minorHAnsi" w:hAnsiTheme="minorHAnsi"/>
        </w:rPr>
        <w:t>dopravy. Ani v</w:t>
      </w:r>
      <w:r w:rsidR="00CF2351" w:rsidRPr="00B07D79">
        <w:rPr>
          <w:rFonts w:asciiTheme="minorHAnsi" w:hAnsiTheme="minorHAnsi"/>
        </w:rPr>
        <w:t> </w:t>
      </w:r>
      <w:r w:rsidRPr="00B07D79">
        <w:rPr>
          <w:rFonts w:asciiTheme="minorHAnsi" w:hAnsiTheme="minorHAnsi"/>
        </w:rPr>
        <w:t>budoucnu nebude tato skupina disponovat prostředky na pořízení moderních elektromobilů či hybridních vozů. Hlavním přínosem LPG je</w:t>
      </w:r>
      <w:r w:rsidR="00422864" w:rsidRPr="00B07D79">
        <w:rPr>
          <w:rFonts w:asciiTheme="minorHAnsi" w:hAnsiTheme="minorHAnsi"/>
        </w:rPr>
        <w:t> </w:t>
      </w:r>
      <w:r w:rsidRPr="00B07D79">
        <w:rPr>
          <w:rFonts w:asciiTheme="minorHAnsi" w:hAnsiTheme="minorHAnsi"/>
        </w:rPr>
        <w:t>tak snižování emisí u</w:t>
      </w:r>
      <w:r w:rsidR="00CF2351" w:rsidRPr="00B07D79">
        <w:rPr>
          <w:rFonts w:asciiTheme="minorHAnsi" w:hAnsiTheme="minorHAnsi"/>
        </w:rPr>
        <w:t> </w:t>
      </w:r>
      <w:r w:rsidRPr="00B07D79">
        <w:rPr>
          <w:rFonts w:asciiTheme="minorHAnsi" w:hAnsiTheme="minorHAnsi"/>
        </w:rPr>
        <w:t>nejstarší části vozového parku, u</w:t>
      </w:r>
      <w:r w:rsidR="00CF2351" w:rsidRPr="00B07D79">
        <w:rPr>
          <w:rFonts w:asciiTheme="minorHAnsi" w:hAnsiTheme="minorHAnsi"/>
        </w:rPr>
        <w:t> </w:t>
      </w:r>
      <w:r w:rsidRPr="00B07D79">
        <w:rPr>
          <w:rFonts w:asciiTheme="minorHAnsi" w:hAnsiTheme="minorHAnsi"/>
        </w:rPr>
        <w:t>vozů, které by byly tak jako tak nadále v</w:t>
      </w:r>
      <w:r w:rsidR="00CF2351" w:rsidRPr="00B07D79">
        <w:rPr>
          <w:rFonts w:asciiTheme="minorHAnsi" w:hAnsiTheme="minorHAnsi"/>
        </w:rPr>
        <w:t> </w:t>
      </w:r>
      <w:r w:rsidRPr="00B07D79">
        <w:rPr>
          <w:rFonts w:asciiTheme="minorHAnsi" w:hAnsiTheme="minorHAnsi"/>
        </w:rPr>
        <w:t>provozu, ovšem s</w:t>
      </w:r>
      <w:r w:rsidR="00CF2351" w:rsidRPr="00B07D79">
        <w:rPr>
          <w:rFonts w:asciiTheme="minorHAnsi" w:hAnsiTheme="minorHAnsi"/>
        </w:rPr>
        <w:t> </w:t>
      </w:r>
      <w:r w:rsidRPr="00B07D79">
        <w:rPr>
          <w:rFonts w:asciiTheme="minorHAnsi" w:hAnsiTheme="minorHAnsi"/>
        </w:rPr>
        <w:t>mnohem většími emisními dopady.</w:t>
      </w:r>
    </w:p>
    <w:p w14:paraId="4E87F38E" w14:textId="5097729D" w:rsidR="009D0E24" w:rsidRDefault="009D0E24" w:rsidP="00B07D79">
      <w:pPr>
        <w:spacing w:line="276" w:lineRule="auto"/>
        <w:jc w:val="both"/>
        <w:rPr>
          <w:rFonts w:asciiTheme="minorHAnsi" w:hAnsiTheme="minorHAnsi"/>
        </w:rPr>
      </w:pPr>
    </w:p>
    <w:p w14:paraId="5D14DDAE" w14:textId="04894497" w:rsidR="009D0E24" w:rsidRDefault="009D0E24" w:rsidP="00B07D79">
      <w:pPr>
        <w:spacing w:line="276" w:lineRule="auto"/>
        <w:jc w:val="both"/>
        <w:rPr>
          <w:rFonts w:asciiTheme="minorHAnsi" w:hAnsiTheme="minorHAnsi"/>
        </w:rPr>
      </w:pPr>
    </w:p>
    <w:p w14:paraId="2119094F" w14:textId="77777777" w:rsidR="009D0E24" w:rsidRPr="00B07D79" w:rsidRDefault="009D0E24" w:rsidP="00B07D79">
      <w:pPr>
        <w:spacing w:line="276" w:lineRule="auto"/>
        <w:jc w:val="both"/>
        <w:rPr>
          <w:rFonts w:asciiTheme="minorHAnsi" w:hAnsiTheme="minorHAnsi"/>
        </w:rPr>
      </w:pPr>
    </w:p>
    <w:p w14:paraId="40506060" w14:textId="77777777" w:rsidR="00BF2BD1" w:rsidRPr="00516C35" w:rsidRDefault="00BF2BD1" w:rsidP="00B07D79">
      <w:pPr>
        <w:spacing w:line="276" w:lineRule="auto"/>
        <w:jc w:val="both"/>
        <w:rPr>
          <w:rFonts w:asciiTheme="minorHAnsi" w:hAnsiTheme="minorHAnsi"/>
          <w:color w:val="385623" w:themeColor="accent6" w:themeShade="80"/>
        </w:rPr>
      </w:pPr>
      <w:r w:rsidRPr="00516C35">
        <w:rPr>
          <w:rFonts w:asciiTheme="minorHAnsi" w:hAnsiTheme="minorHAnsi"/>
          <w:color w:val="385623" w:themeColor="accent6" w:themeShade="80"/>
          <w:sz w:val="24"/>
        </w:rPr>
        <w:lastRenderedPageBreak/>
        <w:t>Scénáře pro vozový park</w:t>
      </w:r>
    </w:p>
    <w:p w14:paraId="668E1AD7" w14:textId="48499565" w:rsidR="00BF2BD1" w:rsidRPr="00B07D79" w:rsidRDefault="00BF2BD1" w:rsidP="00B07D79">
      <w:pPr>
        <w:spacing w:line="276" w:lineRule="auto"/>
        <w:jc w:val="both"/>
        <w:rPr>
          <w:rFonts w:asciiTheme="minorHAnsi" w:hAnsiTheme="minorHAnsi"/>
        </w:rPr>
      </w:pPr>
      <w:r w:rsidRPr="00B07D79">
        <w:rPr>
          <w:rFonts w:asciiTheme="minorHAnsi" w:hAnsiTheme="minorHAnsi"/>
        </w:rPr>
        <w:t>ČR patří k</w:t>
      </w:r>
      <w:r w:rsidR="00CF2351" w:rsidRPr="00B07D79">
        <w:rPr>
          <w:rFonts w:asciiTheme="minorHAnsi" w:hAnsiTheme="minorHAnsi"/>
        </w:rPr>
        <w:t> </w:t>
      </w:r>
      <w:r w:rsidRPr="00B07D79">
        <w:rPr>
          <w:rFonts w:asciiTheme="minorHAnsi" w:hAnsiTheme="minorHAnsi"/>
        </w:rPr>
        <w:t>zemím s</w:t>
      </w:r>
      <w:r w:rsidR="00CF2351" w:rsidRPr="00B07D79">
        <w:rPr>
          <w:rFonts w:asciiTheme="minorHAnsi" w:hAnsiTheme="minorHAnsi"/>
        </w:rPr>
        <w:t> </w:t>
      </w:r>
      <w:r w:rsidRPr="00B07D79">
        <w:rPr>
          <w:rFonts w:asciiTheme="minorHAnsi" w:hAnsiTheme="minorHAnsi"/>
        </w:rPr>
        <w:t>nejrozšířenějším vozovým parkem poháněným LPG v</w:t>
      </w:r>
      <w:r w:rsidR="00CF2351" w:rsidRPr="00B07D79">
        <w:rPr>
          <w:rFonts w:asciiTheme="minorHAnsi" w:hAnsiTheme="minorHAnsi"/>
        </w:rPr>
        <w:t> </w:t>
      </w:r>
      <w:r w:rsidRPr="00B07D79">
        <w:rPr>
          <w:rFonts w:asciiTheme="minorHAnsi" w:hAnsiTheme="minorHAnsi"/>
        </w:rPr>
        <w:t>Evropě. Zejména prostřednictvím výhodné spotřební daně, která byla stanovena na dolní hranici stanovené evropskými daňovými předpisy, tu postupně vyrostla silná flotila vozů i</w:t>
      </w:r>
      <w:r w:rsidR="00CF2351" w:rsidRPr="00B07D79">
        <w:rPr>
          <w:rFonts w:asciiTheme="minorHAnsi" w:hAnsiTheme="minorHAnsi"/>
        </w:rPr>
        <w:t> </w:t>
      </w:r>
      <w:r w:rsidRPr="00B07D79">
        <w:rPr>
          <w:rFonts w:asciiTheme="minorHAnsi" w:hAnsiTheme="minorHAnsi"/>
        </w:rPr>
        <w:t>související bohatá infrastruktura.</w:t>
      </w:r>
    </w:p>
    <w:p w14:paraId="74A88D62" w14:textId="5DED5FE2" w:rsidR="00BF2BD1" w:rsidRPr="00B07D79" w:rsidRDefault="00BF2BD1" w:rsidP="00B07D79">
      <w:pPr>
        <w:spacing w:line="276" w:lineRule="auto"/>
        <w:jc w:val="both"/>
        <w:rPr>
          <w:rFonts w:asciiTheme="minorHAnsi" w:hAnsiTheme="minorHAnsi"/>
        </w:rPr>
      </w:pPr>
      <w:r w:rsidRPr="00B07D79">
        <w:rPr>
          <w:rFonts w:asciiTheme="minorHAnsi" w:hAnsiTheme="minorHAnsi"/>
        </w:rPr>
        <w:t>Kvalifikovaný odhad aktuálního počtu vozů na LPG v</w:t>
      </w:r>
      <w:r w:rsidR="00CF2351" w:rsidRPr="00B07D79">
        <w:rPr>
          <w:rFonts w:asciiTheme="minorHAnsi" w:hAnsiTheme="minorHAnsi"/>
        </w:rPr>
        <w:t> </w:t>
      </w:r>
      <w:r w:rsidR="00292BD6" w:rsidRPr="00B07D79">
        <w:rPr>
          <w:rFonts w:asciiTheme="minorHAnsi" w:hAnsiTheme="minorHAnsi"/>
        </w:rPr>
        <w:t xml:space="preserve">ČR </w:t>
      </w:r>
      <w:r w:rsidRPr="00B07D79">
        <w:rPr>
          <w:rFonts w:asciiTheme="minorHAnsi" w:hAnsiTheme="minorHAnsi"/>
        </w:rPr>
        <w:t>činí 1</w:t>
      </w:r>
      <w:r w:rsidR="00827410" w:rsidRPr="00B07D79">
        <w:rPr>
          <w:rFonts w:asciiTheme="minorHAnsi" w:hAnsiTheme="minorHAnsi"/>
        </w:rPr>
        <w:t>12</w:t>
      </w:r>
      <w:r w:rsidRPr="00B07D79">
        <w:rPr>
          <w:rFonts w:asciiTheme="minorHAnsi" w:hAnsiTheme="minorHAnsi"/>
        </w:rPr>
        <w:t> 000. Tyto vozy nyní přináší úsporu přes 70</w:t>
      </w:r>
      <w:r w:rsidR="008B04ED" w:rsidRPr="00B07D79">
        <w:rPr>
          <w:rFonts w:asciiTheme="minorHAnsi" w:hAnsiTheme="minorHAnsi"/>
        </w:rPr>
        <w:t xml:space="preserve"> </w:t>
      </w:r>
      <w:r w:rsidRPr="00B07D79">
        <w:rPr>
          <w:rFonts w:asciiTheme="minorHAnsi" w:hAnsiTheme="minorHAnsi"/>
        </w:rPr>
        <w:t>000 tun CO</w:t>
      </w:r>
      <w:r w:rsidRPr="00B07D79">
        <w:rPr>
          <w:rFonts w:asciiTheme="minorHAnsi" w:hAnsiTheme="minorHAnsi"/>
          <w:vertAlign w:val="subscript"/>
        </w:rPr>
        <w:t>2</w:t>
      </w:r>
      <w:r w:rsidRPr="00B07D79">
        <w:rPr>
          <w:rFonts w:asciiTheme="minorHAnsi" w:hAnsiTheme="minorHAnsi"/>
        </w:rPr>
        <w:t xml:space="preserve"> ročně oproti situaci, kdy by tatáž vozidla spalovala benzín.</w:t>
      </w:r>
    </w:p>
    <w:p w14:paraId="156F428D" w14:textId="26958C96" w:rsidR="00BF2BD1" w:rsidRPr="00B07D79" w:rsidRDefault="00292BD6" w:rsidP="00B07D79">
      <w:pPr>
        <w:spacing w:line="276" w:lineRule="auto"/>
        <w:jc w:val="both"/>
        <w:rPr>
          <w:rFonts w:asciiTheme="minorHAnsi" w:hAnsiTheme="minorHAnsi"/>
        </w:rPr>
      </w:pPr>
      <w:r w:rsidRPr="00B07D79">
        <w:rPr>
          <w:rFonts w:asciiTheme="minorHAnsi" w:hAnsiTheme="minorHAnsi"/>
        </w:rPr>
        <w:t>ČR</w:t>
      </w:r>
      <w:r w:rsidR="00BF2BD1" w:rsidRPr="00B07D79">
        <w:rPr>
          <w:rFonts w:asciiTheme="minorHAnsi" w:hAnsiTheme="minorHAnsi"/>
        </w:rPr>
        <w:t xml:space="preserve"> se spotřebou LPG v</w:t>
      </w:r>
      <w:r w:rsidR="00CF2351" w:rsidRPr="00B07D79">
        <w:rPr>
          <w:rFonts w:asciiTheme="minorHAnsi" w:hAnsiTheme="minorHAnsi"/>
        </w:rPr>
        <w:t> </w:t>
      </w:r>
      <w:r w:rsidR="00BF2BD1" w:rsidRPr="00B07D79">
        <w:rPr>
          <w:rFonts w:asciiTheme="minorHAnsi" w:hAnsiTheme="minorHAnsi"/>
        </w:rPr>
        <w:t>dopravě, počtem vozidel i</w:t>
      </w:r>
      <w:r w:rsidR="00CF2351" w:rsidRPr="00B07D79">
        <w:rPr>
          <w:rFonts w:asciiTheme="minorHAnsi" w:hAnsiTheme="minorHAnsi"/>
        </w:rPr>
        <w:t> </w:t>
      </w:r>
      <w:r w:rsidR="00BF2BD1" w:rsidRPr="00B07D79">
        <w:rPr>
          <w:rFonts w:asciiTheme="minorHAnsi" w:hAnsiTheme="minorHAnsi"/>
        </w:rPr>
        <w:t>počtem pln</w:t>
      </w:r>
      <w:r w:rsidR="00616D0B" w:rsidRPr="00B07D79">
        <w:rPr>
          <w:rFonts w:asciiTheme="minorHAnsi" w:hAnsiTheme="minorHAnsi"/>
        </w:rPr>
        <w:t>i</w:t>
      </w:r>
      <w:r w:rsidR="00BF2BD1" w:rsidRPr="00B07D79">
        <w:rPr>
          <w:rFonts w:asciiTheme="minorHAnsi" w:hAnsiTheme="minorHAnsi"/>
        </w:rPr>
        <w:t>cích míst řadí k</w:t>
      </w:r>
      <w:r w:rsidR="00CF2351" w:rsidRPr="00B07D79">
        <w:rPr>
          <w:rFonts w:asciiTheme="minorHAnsi" w:hAnsiTheme="minorHAnsi"/>
        </w:rPr>
        <w:t> </w:t>
      </w:r>
      <w:r w:rsidR="00BF2BD1" w:rsidRPr="00B07D79">
        <w:rPr>
          <w:rFonts w:asciiTheme="minorHAnsi" w:hAnsiTheme="minorHAnsi"/>
        </w:rPr>
        <w:t>největším LPG trhům v</w:t>
      </w:r>
      <w:r w:rsidR="00CF2351" w:rsidRPr="00B07D79">
        <w:rPr>
          <w:rFonts w:asciiTheme="minorHAnsi" w:hAnsiTheme="minorHAnsi"/>
        </w:rPr>
        <w:t> </w:t>
      </w:r>
      <w:r w:rsidR="00BF2BD1" w:rsidRPr="00B07D79">
        <w:rPr>
          <w:rFonts w:asciiTheme="minorHAnsi" w:hAnsiTheme="minorHAnsi"/>
        </w:rPr>
        <w:t>Evropě</w:t>
      </w:r>
      <w:r w:rsidRPr="00B07D79">
        <w:rPr>
          <w:rFonts w:asciiTheme="minorHAnsi" w:hAnsiTheme="minorHAnsi"/>
        </w:rPr>
        <w:t>.</w:t>
      </w:r>
      <w:r w:rsidR="005407E7" w:rsidRPr="00B07D79">
        <w:rPr>
          <w:rFonts w:asciiTheme="minorHAnsi" w:hAnsiTheme="minorHAnsi"/>
        </w:rPr>
        <w:t xml:space="preserve"> </w:t>
      </w:r>
      <w:r w:rsidR="00BF2BD1" w:rsidRPr="00B07D79">
        <w:rPr>
          <w:rFonts w:asciiTheme="minorHAnsi" w:hAnsiTheme="minorHAnsi"/>
        </w:rPr>
        <w:t>Infrastruktura LPG (sklady, pln</w:t>
      </w:r>
      <w:r w:rsidR="00616D0B" w:rsidRPr="00B07D79">
        <w:rPr>
          <w:rFonts w:asciiTheme="minorHAnsi" w:hAnsiTheme="minorHAnsi"/>
        </w:rPr>
        <w:t>i</w:t>
      </w:r>
      <w:r w:rsidR="00BF2BD1" w:rsidRPr="00B07D79">
        <w:rPr>
          <w:rFonts w:asciiTheme="minorHAnsi" w:hAnsiTheme="minorHAnsi"/>
        </w:rPr>
        <w:t>cí stanice) vznikala zcela komerčně již od 90.</w:t>
      </w:r>
      <w:r w:rsidR="005407E7" w:rsidRPr="00B07D79">
        <w:rPr>
          <w:rFonts w:asciiTheme="minorHAnsi" w:hAnsiTheme="minorHAnsi"/>
        </w:rPr>
        <w:t> </w:t>
      </w:r>
      <w:r w:rsidR="00BF2BD1" w:rsidRPr="00B07D79">
        <w:rPr>
          <w:rFonts w:asciiTheme="minorHAnsi" w:hAnsiTheme="minorHAnsi"/>
        </w:rPr>
        <w:t>let 20. století. Jedinou výhodou, která táhla rozvoj vpřed, byla již zmíněná sazba spotřební daně. Uživatelé vozů LPG dnes využívají 900 míst, kde lze LPG tankovat (pro srovnání – standardních čerpacích stanic s</w:t>
      </w:r>
      <w:r w:rsidR="00CF2351" w:rsidRPr="00B07D79">
        <w:rPr>
          <w:rFonts w:asciiTheme="minorHAnsi" w:hAnsiTheme="minorHAnsi"/>
        </w:rPr>
        <w:t> </w:t>
      </w:r>
      <w:r w:rsidR="00BF2BD1" w:rsidRPr="00B07D79">
        <w:rPr>
          <w:rFonts w:asciiTheme="minorHAnsi" w:hAnsiTheme="minorHAnsi"/>
        </w:rPr>
        <w:t>prodejem benzínu i</w:t>
      </w:r>
      <w:r w:rsidR="00CF2351" w:rsidRPr="00B07D79">
        <w:rPr>
          <w:rFonts w:asciiTheme="minorHAnsi" w:hAnsiTheme="minorHAnsi"/>
        </w:rPr>
        <w:t> </w:t>
      </w:r>
      <w:r w:rsidR="00BF2BD1" w:rsidRPr="00B07D79">
        <w:rPr>
          <w:rFonts w:asciiTheme="minorHAnsi" w:hAnsiTheme="minorHAnsi"/>
        </w:rPr>
        <w:t>nafty je v</w:t>
      </w:r>
      <w:r w:rsidR="00CF2351" w:rsidRPr="00B07D79">
        <w:rPr>
          <w:rFonts w:asciiTheme="minorHAnsi" w:hAnsiTheme="minorHAnsi"/>
        </w:rPr>
        <w:t> </w:t>
      </w:r>
      <w:r w:rsidR="00BF2BD1" w:rsidRPr="00B07D79">
        <w:rPr>
          <w:rFonts w:asciiTheme="minorHAnsi" w:hAnsiTheme="minorHAnsi"/>
        </w:rPr>
        <w:t>ČR 2</w:t>
      </w:r>
      <w:r w:rsidR="005407E7" w:rsidRPr="00B07D79">
        <w:rPr>
          <w:rFonts w:asciiTheme="minorHAnsi" w:hAnsiTheme="minorHAnsi"/>
        </w:rPr>
        <w:t xml:space="preserve"> </w:t>
      </w:r>
      <w:r w:rsidR="00BF2BD1" w:rsidRPr="00B07D79">
        <w:rPr>
          <w:rFonts w:asciiTheme="minorHAnsi" w:hAnsiTheme="minorHAnsi"/>
        </w:rPr>
        <w:t>800). Stejně tak je plně konkurenčně rozvinutá i</w:t>
      </w:r>
      <w:r w:rsidR="00CF2351" w:rsidRPr="00B07D79">
        <w:rPr>
          <w:rFonts w:asciiTheme="minorHAnsi" w:hAnsiTheme="minorHAnsi"/>
        </w:rPr>
        <w:t> </w:t>
      </w:r>
      <w:r w:rsidR="00BF2BD1" w:rsidRPr="00B07D79">
        <w:rPr>
          <w:rFonts w:asciiTheme="minorHAnsi" w:hAnsiTheme="minorHAnsi"/>
        </w:rPr>
        <w:t>část distribuce, dostatečné množství distributorů (velkoobchodníků a</w:t>
      </w:r>
      <w:r w:rsidR="00CF2351" w:rsidRPr="00B07D79">
        <w:rPr>
          <w:rFonts w:asciiTheme="minorHAnsi" w:hAnsiTheme="minorHAnsi"/>
        </w:rPr>
        <w:t> </w:t>
      </w:r>
      <w:r w:rsidR="00BF2BD1" w:rsidRPr="00B07D79">
        <w:rPr>
          <w:rFonts w:asciiTheme="minorHAnsi" w:hAnsiTheme="minorHAnsi"/>
        </w:rPr>
        <w:t>skladů) na</w:t>
      </w:r>
      <w:r w:rsidR="00422864" w:rsidRPr="00B07D79">
        <w:rPr>
          <w:rFonts w:asciiTheme="minorHAnsi" w:hAnsiTheme="minorHAnsi"/>
        </w:rPr>
        <w:t> </w:t>
      </w:r>
      <w:r w:rsidR="00BF2BD1" w:rsidRPr="00B07D79">
        <w:rPr>
          <w:rFonts w:asciiTheme="minorHAnsi" w:hAnsiTheme="minorHAnsi"/>
        </w:rPr>
        <w:t>trhu zajišťuje dlouhodobě nízkou cenu produktu pro konečného spotřebitele.</w:t>
      </w:r>
    </w:p>
    <w:p w14:paraId="6858D165" w14:textId="583D3774" w:rsidR="00BF2BD1" w:rsidRPr="00516C35" w:rsidRDefault="00BF2BD1" w:rsidP="00B07D79">
      <w:pPr>
        <w:pStyle w:val="Titulek"/>
        <w:keepNext/>
        <w:spacing w:line="276" w:lineRule="auto"/>
        <w:jc w:val="both"/>
        <w:rPr>
          <w:rFonts w:asciiTheme="minorHAnsi" w:hAnsiTheme="minorHAnsi"/>
          <w:b w:val="0"/>
          <w:bCs w:val="0"/>
          <w:color w:val="385623" w:themeColor="accent6" w:themeShade="80"/>
        </w:rPr>
      </w:pPr>
      <w:r w:rsidRPr="00516C35">
        <w:rPr>
          <w:rFonts w:asciiTheme="minorHAnsi" w:hAnsiTheme="minorHAnsi"/>
          <w:b w:val="0"/>
          <w:bCs w:val="0"/>
          <w:color w:val="385623" w:themeColor="accent6" w:themeShade="80"/>
        </w:rPr>
        <w:t xml:space="preserve">Obrázek </w:t>
      </w:r>
      <w:r w:rsidR="007D4BC4" w:rsidRPr="00516C35">
        <w:rPr>
          <w:rFonts w:asciiTheme="minorHAnsi" w:hAnsiTheme="minorHAnsi"/>
          <w:b w:val="0"/>
          <w:bCs w:val="0"/>
          <w:color w:val="385623" w:themeColor="accent6" w:themeShade="80"/>
        </w:rPr>
        <w:t xml:space="preserve">36 </w:t>
      </w:r>
      <w:r w:rsidRPr="00516C35">
        <w:rPr>
          <w:rFonts w:asciiTheme="minorHAnsi" w:hAnsiTheme="minorHAnsi"/>
          <w:b w:val="0"/>
          <w:bCs w:val="0"/>
          <w:color w:val="385623" w:themeColor="accent6" w:themeShade="80"/>
        </w:rPr>
        <w:t>Počty vozidel a</w:t>
      </w:r>
      <w:r w:rsidR="00CF2351" w:rsidRPr="00516C35">
        <w:rPr>
          <w:rFonts w:asciiTheme="minorHAnsi" w:hAnsiTheme="minorHAnsi"/>
          <w:b w:val="0"/>
          <w:bCs w:val="0"/>
          <w:color w:val="385623" w:themeColor="accent6" w:themeShade="80"/>
        </w:rPr>
        <w:t> </w:t>
      </w:r>
      <w:r w:rsidRPr="00516C35">
        <w:rPr>
          <w:rFonts w:asciiTheme="minorHAnsi" w:hAnsiTheme="minorHAnsi"/>
          <w:b w:val="0"/>
          <w:bCs w:val="0"/>
          <w:color w:val="385623" w:themeColor="accent6" w:themeShade="80"/>
        </w:rPr>
        <w:t>čerpacích stanic na konvenční paliva a</w:t>
      </w:r>
      <w:r w:rsidR="00CF2351" w:rsidRPr="00516C35">
        <w:rPr>
          <w:rFonts w:asciiTheme="minorHAnsi" w:hAnsiTheme="minorHAnsi"/>
          <w:b w:val="0"/>
          <w:bCs w:val="0"/>
          <w:color w:val="385623" w:themeColor="accent6" w:themeShade="80"/>
        </w:rPr>
        <w:t> </w:t>
      </w:r>
      <w:r w:rsidRPr="00516C35">
        <w:rPr>
          <w:rFonts w:asciiTheme="minorHAnsi" w:hAnsiTheme="minorHAnsi"/>
          <w:b w:val="0"/>
          <w:bCs w:val="0"/>
          <w:color w:val="385623" w:themeColor="accent6" w:themeShade="80"/>
        </w:rPr>
        <w:t>LPG</w:t>
      </w:r>
    </w:p>
    <w:p w14:paraId="7C750373"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30123FCD" wp14:editId="47265A0A">
            <wp:extent cx="5036185" cy="2884170"/>
            <wp:effectExtent l="0" t="0" r="12065" b="11430"/>
            <wp:docPr id="552229042" name="Graf 552229042">
              <a:extLst xmlns:a="http://schemas.openxmlformats.org/drawingml/2006/main">
                <a:ext uri="{FF2B5EF4-FFF2-40B4-BE49-F238E27FC236}">
                  <a16:creationId xmlns:a16="http://schemas.microsoft.com/office/drawing/2014/main" id="{C241A23E-7469-8146-9BC2-5ADDCF065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C9CE27C" w14:textId="77777777" w:rsidR="00BF2BD1" w:rsidRPr="00B07D79" w:rsidRDefault="00BF2BD1" w:rsidP="00B07D79">
      <w:pPr>
        <w:spacing w:line="276" w:lineRule="auto"/>
        <w:jc w:val="both"/>
        <w:rPr>
          <w:rFonts w:asciiTheme="minorHAnsi" w:hAnsiTheme="minorHAnsi"/>
        </w:rPr>
      </w:pPr>
    </w:p>
    <w:p w14:paraId="79A96465" w14:textId="31A6B72A" w:rsidR="00BF2BD1" w:rsidRPr="00516C35" w:rsidRDefault="00BF2BD1" w:rsidP="00B07D79">
      <w:pPr>
        <w:spacing w:line="276" w:lineRule="auto"/>
        <w:jc w:val="both"/>
        <w:rPr>
          <w:rFonts w:asciiTheme="minorHAnsi" w:hAnsiTheme="minorHAnsi"/>
          <w:color w:val="385623" w:themeColor="accent6" w:themeShade="80"/>
          <w:sz w:val="24"/>
        </w:rPr>
      </w:pPr>
      <w:r w:rsidRPr="00516C35">
        <w:rPr>
          <w:rFonts w:asciiTheme="minorHAnsi" w:hAnsiTheme="minorHAnsi"/>
          <w:color w:val="385623" w:themeColor="accent6" w:themeShade="80"/>
          <w:sz w:val="24"/>
        </w:rPr>
        <w:t>Podmínky výroby a</w:t>
      </w:r>
      <w:r w:rsidR="00CF2351" w:rsidRPr="00516C35">
        <w:rPr>
          <w:rFonts w:asciiTheme="minorHAnsi" w:hAnsiTheme="minorHAnsi"/>
          <w:color w:val="385623" w:themeColor="accent6" w:themeShade="80"/>
          <w:sz w:val="24"/>
        </w:rPr>
        <w:t> </w:t>
      </w:r>
      <w:r w:rsidRPr="00516C35">
        <w:rPr>
          <w:rFonts w:asciiTheme="minorHAnsi" w:hAnsiTheme="minorHAnsi"/>
          <w:color w:val="385623" w:themeColor="accent6" w:themeShade="80"/>
          <w:sz w:val="24"/>
        </w:rPr>
        <w:t>predikce vývoje užití bioLPG</w:t>
      </w:r>
    </w:p>
    <w:p w14:paraId="727D5D1E" w14:textId="75AFCD19" w:rsidR="00BF2BD1" w:rsidRPr="00B07D79" w:rsidRDefault="00BF2BD1" w:rsidP="00B07D79">
      <w:pPr>
        <w:spacing w:line="276" w:lineRule="auto"/>
        <w:jc w:val="both"/>
        <w:rPr>
          <w:rFonts w:asciiTheme="minorHAnsi" w:hAnsiTheme="minorHAnsi"/>
        </w:rPr>
      </w:pPr>
      <w:r w:rsidRPr="00B07D79">
        <w:rPr>
          <w:rFonts w:asciiTheme="minorHAnsi" w:hAnsiTheme="minorHAnsi"/>
        </w:rPr>
        <w:t>Ačkoliv je LPG samo o</w:t>
      </w:r>
      <w:r w:rsidR="00CF2351" w:rsidRPr="00B07D79">
        <w:rPr>
          <w:rFonts w:asciiTheme="minorHAnsi" w:hAnsiTheme="minorHAnsi"/>
        </w:rPr>
        <w:t> </w:t>
      </w:r>
      <w:r w:rsidRPr="00B07D79">
        <w:rPr>
          <w:rFonts w:asciiTheme="minorHAnsi" w:hAnsiTheme="minorHAnsi"/>
        </w:rPr>
        <w:t>osobě z</w:t>
      </w:r>
      <w:r w:rsidR="00CF2351" w:rsidRPr="00B07D79">
        <w:rPr>
          <w:rFonts w:asciiTheme="minorHAnsi" w:hAnsiTheme="minorHAnsi"/>
        </w:rPr>
        <w:t> </w:t>
      </w:r>
      <w:r w:rsidRPr="00B07D79">
        <w:rPr>
          <w:rFonts w:asciiTheme="minorHAnsi" w:hAnsiTheme="minorHAnsi"/>
        </w:rPr>
        <w:t>hlediska emisí mimořádně čistým palivem, stávající výhoda v</w:t>
      </w:r>
      <w:r w:rsidR="00CF2351" w:rsidRPr="00B07D79">
        <w:rPr>
          <w:rFonts w:asciiTheme="minorHAnsi" w:hAnsiTheme="minorHAnsi"/>
        </w:rPr>
        <w:t> </w:t>
      </w:r>
      <w:r w:rsidRPr="00B07D79">
        <w:rPr>
          <w:rFonts w:asciiTheme="minorHAnsi" w:hAnsiTheme="minorHAnsi"/>
        </w:rPr>
        <w:t>budoucnu nemusí být dostatečná. I</w:t>
      </w:r>
      <w:r w:rsidR="00CF2351" w:rsidRPr="00B07D79">
        <w:rPr>
          <w:rFonts w:asciiTheme="minorHAnsi" w:hAnsiTheme="minorHAnsi"/>
        </w:rPr>
        <w:t> </w:t>
      </w:r>
      <w:r w:rsidRPr="00B07D79">
        <w:rPr>
          <w:rFonts w:asciiTheme="minorHAnsi" w:hAnsiTheme="minorHAnsi"/>
        </w:rPr>
        <w:t>proto se již několik let pracuje na technologiích a</w:t>
      </w:r>
      <w:r w:rsidR="00CF2351" w:rsidRPr="00B07D79">
        <w:rPr>
          <w:rFonts w:asciiTheme="minorHAnsi" w:hAnsiTheme="minorHAnsi"/>
        </w:rPr>
        <w:t> </w:t>
      </w:r>
      <w:r w:rsidRPr="00B07D79">
        <w:rPr>
          <w:rFonts w:asciiTheme="minorHAnsi" w:hAnsiTheme="minorHAnsi"/>
        </w:rPr>
        <w:t>programech vedoucích k</w:t>
      </w:r>
      <w:r w:rsidR="00CF2351" w:rsidRPr="00B07D79">
        <w:rPr>
          <w:rFonts w:asciiTheme="minorHAnsi" w:hAnsiTheme="minorHAnsi"/>
        </w:rPr>
        <w:t> </w:t>
      </w:r>
      <w:r w:rsidRPr="00B07D79">
        <w:rPr>
          <w:rFonts w:asciiTheme="minorHAnsi" w:hAnsiTheme="minorHAnsi"/>
        </w:rPr>
        <w:t>produkci bioLPG, tedy produktu, který v</w:t>
      </w:r>
      <w:r w:rsidR="00CF2351" w:rsidRPr="00B07D79">
        <w:rPr>
          <w:rFonts w:asciiTheme="minorHAnsi" w:hAnsiTheme="minorHAnsi"/>
        </w:rPr>
        <w:t> </w:t>
      </w:r>
      <w:r w:rsidRPr="00B07D79">
        <w:rPr>
          <w:rFonts w:asciiTheme="minorHAnsi" w:hAnsiTheme="minorHAnsi"/>
        </w:rPr>
        <w:t>sobě spojuje chemické vlastnosti LPG a</w:t>
      </w:r>
      <w:r w:rsidR="00CF2351" w:rsidRPr="00B07D79">
        <w:rPr>
          <w:rFonts w:asciiTheme="minorHAnsi" w:hAnsiTheme="minorHAnsi"/>
        </w:rPr>
        <w:t> </w:t>
      </w:r>
      <w:r w:rsidRPr="00B07D79">
        <w:rPr>
          <w:rFonts w:asciiTheme="minorHAnsi" w:hAnsiTheme="minorHAnsi"/>
        </w:rPr>
        <w:t>nízkoemisní původ / výrobu. BioLPG se produkuje uměle z</w:t>
      </w:r>
      <w:r w:rsidR="00CF2351" w:rsidRPr="00B07D79">
        <w:rPr>
          <w:rFonts w:asciiTheme="minorHAnsi" w:hAnsiTheme="minorHAnsi"/>
        </w:rPr>
        <w:t> </w:t>
      </w:r>
      <w:r w:rsidRPr="00B07D79">
        <w:rPr>
          <w:rFonts w:asciiTheme="minorHAnsi" w:hAnsiTheme="minorHAnsi"/>
        </w:rPr>
        <w:t>obnovitelných zdrojů, a</w:t>
      </w:r>
      <w:r w:rsidR="00CF2351" w:rsidRPr="00B07D79">
        <w:rPr>
          <w:rFonts w:asciiTheme="minorHAnsi" w:hAnsiTheme="minorHAnsi"/>
        </w:rPr>
        <w:t> </w:t>
      </w:r>
      <w:r w:rsidRPr="00B07D79">
        <w:rPr>
          <w:rFonts w:asciiTheme="minorHAnsi" w:hAnsiTheme="minorHAnsi"/>
        </w:rPr>
        <w:t>to bez fyzikálních či chemických rozdílů oproti tradičnímu fosilnímu LPG a</w:t>
      </w:r>
      <w:r w:rsidR="00CF2351" w:rsidRPr="00B07D79">
        <w:rPr>
          <w:rFonts w:asciiTheme="minorHAnsi" w:hAnsiTheme="minorHAnsi"/>
        </w:rPr>
        <w:t> </w:t>
      </w:r>
      <w:r w:rsidRPr="00B07D79">
        <w:rPr>
          <w:rFonts w:asciiTheme="minorHAnsi" w:hAnsiTheme="minorHAnsi"/>
        </w:rPr>
        <w:t>je tedy s</w:t>
      </w:r>
      <w:r w:rsidR="00CF2351" w:rsidRPr="00B07D79">
        <w:rPr>
          <w:rFonts w:asciiTheme="minorHAnsi" w:hAnsiTheme="minorHAnsi"/>
        </w:rPr>
        <w:t> </w:t>
      </w:r>
      <w:r w:rsidRPr="00B07D79">
        <w:rPr>
          <w:rFonts w:asciiTheme="minorHAnsi" w:hAnsiTheme="minorHAnsi"/>
        </w:rPr>
        <w:t>konvenčním LPG plně mísitelné. Pro konečného spotřebitele, respektive pro motor jeho vozu, nepředstavuje bioLPG žádnou změnu, není vyžadována žádná úprava motoru nebo</w:t>
      </w:r>
      <w:r w:rsidR="00422864" w:rsidRPr="00B07D79">
        <w:rPr>
          <w:rFonts w:asciiTheme="minorHAnsi" w:hAnsiTheme="minorHAnsi"/>
        </w:rPr>
        <w:t> </w:t>
      </w:r>
      <w:r w:rsidRPr="00B07D79">
        <w:rPr>
          <w:rFonts w:asciiTheme="minorHAnsi" w:hAnsiTheme="minorHAnsi"/>
        </w:rPr>
        <w:t>chování řidiče.</w:t>
      </w:r>
    </w:p>
    <w:p w14:paraId="4E6A2D6D" w14:textId="33AD66A5"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Dle studie </w:t>
      </w:r>
      <w:r w:rsidRPr="00B07D79">
        <w:rPr>
          <w:rFonts w:asciiTheme="minorHAnsi" w:hAnsiTheme="minorHAnsi"/>
          <w:lang w:val="en-GB"/>
        </w:rPr>
        <w:t>Atlantic Consulting</w:t>
      </w:r>
      <w:r w:rsidRPr="00B07D79">
        <w:rPr>
          <w:rFonts w:asciiTheme="minorHAnsi" w:hAnsiTheme="minorHAnsi"/>
        </w:rPr>
        <w:t xml:space="preserve"> (švýcarská poradenská firma zabývající se posuzováním vlivu technologií na životní prostředí) aktuálně tvoří světová produkce bioLPG cca 200 000 tun ročně a</w:t>
      </w:r>
      <w:r w:rsidR="00CF2351" w:rsidRPr="00B07D79">
        <w:rPr>
          <w:rFonts w:asciiTheme="minorHAnsi" w:hAnsiTheme="minorHAnsi"/>
        </w:rPr>
        <w:t> </w:t>
      </w:r>
      <w:r w:rsidRPr="00B07D79">
        <w:rPr>
          <w:rFonts w:asciiTheme="minorHAnsi" w:hAnsiTheme="minorHAnsi"/>
        </w:rPr>
        <w:t xml:space="preserve">stále narůstá. </w:t>
      </w:r>
      <w:r w:rsidRPr="00B07D79">
        <w:rPr>
          <w:rFonts w:asciiTheme="minorHAnsi" w:hAnsiTheme="minorHAnsi"/>
        </w:rPr>
        <w:lastRenderedPageBreak/>
        <w:t>V</w:t>
      </w:r>
      <w:r w:rsidR="00CF2351" w:rsidRPr="00B07D79">
        <w:rPr>
          <w:rFonts w:asciiTheme="minorHAnsi" w:hAnsiTheme="minorHAnsi"/>
        </w:rPr>
        <w:t> </w:t>
      </w:r>
      <w:r w:rsidRPr="00B07D79">
        <w:rPr>
          <w:rFonts w:asciiTheme="minorHAnsi" w:hAnsiTheme="minorHAnsi"/>
        </w:rPr>
        <w:t>současnosti využívané technologie (vedlejší produkt při výrobě HVO) však umožňují výrobu bioLPG pouze na úrovni jednotek procent jeho celkové spotřeby. Dalším rozvojem a</w:t>
      </w:r>
      <w:r w:rsidR="00CF2351" w:rsidRPr="00B07D79">
        <w:rPr>
          <w:rFonts w:asciiTheme="minorHAnsi" w:hAnsiTheme="minorHAnsi"/>
        </w:rPr>
        <w:t> </w:t>
      </w:r>
      <w:r w:rsidRPr="00B07D79">
        <w:rPr>
          <w:rFonts w:asciiTheme="minorHAnsi" w:hAnsiTheme="minorHAnsi"/>
        </w:rPr>
        <w:t>aplikací nových technologií je však možné dosáhnout v</w:t>
      </w:r>
      <w:r w:rsidR="00CF2351" w:rsidRPr="00B07D79">
        <w:rPr>
          <w:rFonts w:asciiTheme="minorHAnsi" w:hAnsiTheme="minorHAnsi"/>
        </w:rPr>
        <w:t> </w:t>
      </w:r>
      <w:r w:rsidRPr="00B07D79">
        <w:rPr>
          <w:rFonts w:asciiTheme="minorHAnsi" w:hAnsiTheme="minorHAnsi"/>
        </w:rPr>
        <w:t>roce 2030 vyšší než 30% podíl produkce LPG v</w:t>
      </w:r>
      <w:r w:rsidR="00CF2351" w:rsidRPr="00B07D79">
        <w:rPr>
          <w:rFonts w:asciiTheme="minorHAnsi" w:hAnsiTheme="minorHAnsi"/>
        </w:rPr>
        <w:t> </w:t>
      </w:r>
      <w:r w:rsidRPr="00B07D79">
        <w:rPr>
          <w:rFonts w:asciiTheme="minorHAnsi" w:hAnsiTheme="minorHAnsi"/>
        </w:rPr>
        <w:t>kvalitě bio. Nejslibnější se jeví výroba z</w:t>
      </w:r>
      <w:r w:rsidR="00CF2351" w:rsidRPr="00B07D79">
        <w:rPr>
          <w:rFonts w:asciiTheme="minorHAnsi" w:hAnsiTheme="minorHAnsi"/>
        </w:rPr>
        <w:t> </w:t>
      </w:r>
      <w:r w:rsidRPr="00B07D79">
        <w:rPr>
          <w:rFonts w:asciiTheme="minorHAnsi" w:hAnsiTheme="minorHAnsi"/>
        </w:rPr>
        <w:t>odpadní buničiny. Podle názorů odporné (chemické) veřejnosti je však zmiňovaná výroba z</w:t>
      </w:r>
      <w:r w:rsidR="00CF2351" w:rsidRPr="00B07D79">
        <w:rPr>
          <w:rFonts w:asciiTheme="minorHAnsi" w:hAnsiTheme="minorHAnsi"/>
        </w:rPr>
        <w:t> </w:t>
      </w:r>
      <w:r w:rsidRPr="00B07D79">
        <w:rPr>
          <w:rFonts w:asciiTheme="minorHAnsi" w:hAnsiTheme="minorHAnsi"/>
        </w:rPr>
        <w:t>buničiny pro české podmínky nevhodná. Nicméně za využitelnou technologii s</w:t>
      </w:r>
      <w:r w:rsidR="00CF2351" w:rsidRPr="00B07D79">
        <w:rPr>
          <w:rFonts w:asciiTheme="minorHAnsi" w:hAnsiTheme="minorHAnsi"/>
        </w:rPr>
        <w:t> </w:t>
      </w:r>
      <w:r w:rsidRPr="00B07D79">
        <w:rPr>
          <w:rFonts w:asciiTheme="minorHAnsi" w:hAnsiTheme="minorHAnsi"/>
        </w:rPr>
        <w:t>velkým potenciálem lze považovat například možnost fermentace cukrů a</w:t>
      </w:r>
      <w:r w:rsidR="00CF2351" w:rsidRPr="00B07D79">
        <w:rPr>
          <w:rFonts w:asciiTheme="minorHAnsi" w:hAnsiTheme="minorHAnsi"/>
        </w:rPr>
        <w:t> </w:t>
      </w:r>
      <w:r w:rsidRPr="00B07D79">
        <w:rPr>
          <w:rFonts w:asciiTheme="minorHAnsi" w:hAnsiTheme="minorHAnsi"/>
        </w:rPr>
        <w:t>zejména pak hydrogenaci glycerinu z</w:t>
      </w:r>
      <w:r w:rsidR="00CF2351" w:rsidRPr="00B07D79">
        <w:rPr>
          <w:rFonts w:asciiTheme="minorHAnsi" w:hAnsiTheme="minorHAnsi"/>
        </w:rPr>
        <w:t> </w:t>
      </w:r>
      <w:r w:rsidRPr="00B07D79">
        <w:rPr>
          <w:rFonts w:asciiTheme="minorHAnsi" w:hAnsiTheme="minorHAnsi"/>
        </w:rPr>
        <w:t>odpadních olejů v</w:t>
      </w:r>
      <w:r w:rsidR="00CF2351" w:rsidRPr="00B07D79">
        <w:rPr>
          <w:rFonts w:asciiTheme="minorHAnsi" w:hAnsiTheme="minorHAnsi"/>
        </w:rPr>
        <w:t> </w:t>
      </w:r>
      <w:r w:rsidRPr="00B07D79">
        <w:rPr>
          <w:rFonts w:asciiTheme="minorHAnsi" w:hAnsiTheme="minorHAnsi"/>
        </w:rPr>
        <w:t>kombinaci s</w:t>
      </w:r>
      <w:r w:rsidR="00CF2351" w:rsidRPr="00B07D79">
        <w:rPr>
          <w:rFonts w:asciiTheme="minorHAnsi" w:hAnsiTheme="minorHAnsi"/>
        </w:rPr>
        <w:t> </w:t>
      </w:r>
      <w:r w:rsidRPr="00B07D79">
        <w:rPr>
          <w:rFonts w:asciiTheme="minorHAnsi" w:hAnsiTheme="minorHAnsi"/>
        </w:rPr>
        <w:t>elektrolýzou při výrobě glycerolu. Rychlost nástupu a</w:t>
      </w:r>
      <w:r w:rsidR="00CF2351" w:rsidRPr="00B07D79">
        <w:rPr>
          <w:rFonts w:asciiTheme="minorHAnsi" w:hAnsiTheme="minorHAnsi"/>
        </w:rPr>
        <w:t> </w:t>
      </w:r>
      <w:r w:rsidRPr="00B07D79">
        <w:rPr>
          <w:rFonts w:asciiTheme="minorHAnsi" w:hAnsiTheme="minorHAnsi"/>
        </w:rPr>
        <w:t>dostupný objem produktu bude silně záviset na případné státní podpoře, protože stejně tak jako jiná alternativní paliva je i</w:t>
      </w:r>
      <w:r w:rsidR="00CF2351" w:rsidRPr="00B07D79">
        <w:rPr>
          <w:rFonts w:asciiTheme="minorHAnsi" w:hAnsiTheme="minorHAnsi"/>
        </w:rPr>
        <w:t> </w:t>
      </w:r>
      <w:r w:rsidRPr="00B07D79">
        <w:rPr>
          <w:rFonts w:asciiTheme="minorHAnsi" w:hAnsiTheme="minorHAnsi"/>
        </w:rPr>
        <w:t>výroba bioLPG dražší než tradiční fosilní varianta.</w:t>
      </w:r>
    </w:p>
    <w:p w14:paraId="5A5D8D3B"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Z hlediska dostupnosti produktu předpokládáme dvě varianty:</w:t>
      </w:r>
    </w:p>
    <w:p w14:paraId="51FFFA15" w14:textId="3E18FBB0" w:rsidR="00BF2BD1" w:rsidRPr="00516C35" w:rsidRDefault="00BF2BD1" w:rsidP="00B07D79">
      <w:pPr>
        <w:spacing w:line="276" w:lineRule="auto"/>
        <w:jc w:val="both"/>
        <w:rPr>
          <w:rFonts w:asciiTheme="minorHAnsi" w:hAnsiTheme="minorHAnsi"/>
          <w:color w:val="538135" w:themeColor="accent6" w:themeShade="BF"/>
        </w:rPr>
      </w:pPr>
      <w:r w:rsidRPr="00516C35">
        <w:rPr>
          <w:rFonts w:asciiTheme="minorHAnsi" w:hAnsiTheme="minorHAnsi"/>
          <w:color w:val="538135" w:themeColor="accent6" w:themeShade="BF"/>
        </w:rPr>
        <w:t>Scénář F</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(fosil) – pomalý růst podílu bioLPG</w:t>
      </w:r>
    </w:p>
    <w:p w14:paraId="6429D5D0" w14:textId="1CD4F3D4" w:rsidR="00BF2BD1" w:rsidRPr="00B07D79" w:rsidRDefault="00BF2BD1" w:rsidP="00B07D79">
      <w:pPr>
        <w:spacing w:line="276" w:lineRule="auto"/>
        <w:jc w:val="both"/>
        <w:rPr>
          <w:rFonts w:asciiTheme="minorHAnsi" w:hAnsiTheme="minorHAnsi"/>
        </w:rPr>
      </w:pPr>
      <w:r w:rsidRPr="00B07D79">
        <w:rPr>
          <w:rFonts w:asciiTheme="minorHAnsi" w:hAnsiTheme="minorHAnsi"/>
        </w:rPr>
        <w:t>Tento scénář vychází z</w:t>
      </w:r>
      <w:r w:rsidR="00CF2351" w:rsidRPr="00B07D79">
        <w:rPr>
          <w:rFonts w:asciiTheme="minorHAnsi" w:hAnsiTheme="minorHAnsi"/>
        </w:rPr>
        <w:t> </w:t>
      </w:r>
      <w:r w:rsidRPr="00B07D79">
        <w:rPr>
          <w:rFonts w:asciiTheme="minorHAnsi" w:hAnsiTheme="minorHAnsi"/>
        </w:rPr>
        <w:t>předpokladu, že stát nebude jakkoli zasahovat do trhu a</w:t>
      </w:r>
      <w:r w:rsidR="00CF2351" w:rsidRPr="00B07D79">
        <w:rPr>
          <w:rFonts w:asciiTheme="minorHAnsi" w:hAnsiTheme="minorHAnsi"/>
        </w:rPr>
        <w:t> </w:t>
      </w:r>
      <w:r w:rsidRPr="00B07D79">
        <w:rPr>
          <w:rFonts w:asciiTheme="minorHAnsi" w:hAnsiTheme="minorHAnsi"/>
        </w:rPr>
        <w:t>ponechá vývoj bioLPG tržním mechanismům. V</w:t>
      </w:r>
      <w:r w:rsidR="00CF2351" w:rsidRPr="00B07D79">
        <w:rPr>
          <w:rFonts w:asciiTheme="minorHAnsi" w:hAnsiTheme="minorHAnsi"/>
        </w:rPr>
        <w:t> </w:t>
      </w:r>
      <w:r w:rsidRPr="00B07D79">
        <w:rPr>
          <w:rFonts w:asciiTheme="minorHAnsi" w:hAnsiTheme="minorHAnsi"/>
        </w:rPr>
        <w:t>takovém případě předpokládáme, že v</w:t>
      </w:r>
      <w:r w:rsidR="00CF2351" w:rsidRPr="00B07D79">
        <w:rPr>
          <w:rFonts w:asciiTheme="minorHAnsi" w:hAnsiTheme="minorHAnsi"/>
        </w:rPr>
        <w:t> </w:t>
      </w:r>
      <w:r w:rsidR="00292BD6" w:rsidRPr="00B07D79">
        <w:rPr>
          <w:rFonts w:asciiTheme="minorHAnsi" w:hAnsiTheme="minorHAnsi"/>
        </w:rPr>
        <w:t>ČR</w:t>
      </w:r>
      <w:r w:rsidRPr="00B07D79">
        <w:rPr>
          <w:rFonts w:asciiTheme="minorHAnsi" w:hAnsiTheme="minorHAnsi"/>
        </w:rPr>
        <w:t xml:space="preserve"> nevznikne v</w:t>
      </w:r>
      <w:r w:rsidR="00CF2351" w:rsidRPr="00B07D79">
        <w:rPr>
          <w:rFonts w:asciiTheme="minorHAnsi" w:hAnsiTheme="minorHAnsi"/>
        </w:rPr>
        <w:t> </w:t>
      </w:r>
      <w:r w:rsidRPr="00B07D79">
        <w:rPr>
          <w:rFonts w:asciiTheme="minorHAnsi" w:hAnsiTheme="minorHAnsi"/>
        </w:rPr>
        <w:t>nejbližších 10 letech žádná vlastní výroba bioLPG. Protože po biopalivech 2.</w:t>
      </w:r>
      <w:r w:rsidR="00422864" w:rsidRPr="00B07D79">
        <w:rPr>
          <w:rFonts w:asciiTheme="minorHAnsi" w:hAnsiTheme="minorHAnsi"/>
        </w:rPr>
        <w:t> </w:t>
      </w:r>
      <w:r w:rsidRPr="00B07D79">
        <w:rPr>
          <w:rFonts w:asciiTheme="minorHAnsi" w:hAnsiTheme="minorHAnsi"/>
        </w:rPr>
        <w:t>generace bude všeobecná vysoká poptávka, uplatní se produkt snadno v</w:t>
      </w:r>
      <w:r w:rsidR="00CF2351" w:rsidRPr="00B07D79">
        <w:rPr>
          <w:rFonts w:asciiTheme="minorHAnsi" w:hAnsiTheme="minorHAnsi"/>
        </w:rPr>
        <w:t> </w:t>
      </w:r>
      <w:r w:rsidRPr="00B07D79">
        <w:rPr>
          <w:rFonts w:asciiTheme="minorHAnsi" w:hAnsiTheme="minorHAnsi"/>
        </w:rPr>
        <w:t>místech své výroby a</w:t>
      </w:r>
      <w:r w:rsidR="00CF2351" w:rsidRPr="00B07D79">
        <w:rPr>
          <w:rFonts w:asciiTheme="minorHAnsi" w:hAnsiTheme="minorHAnsi"/>
        </w:rPr>
        <w:t> </w:t>
      </w:r>
      <w:r w:rsidRPr="00B07D79">
        <w:rPr>
          <w:rFonts w:asciiTheme="minorHAnsi" w:hAnsiTheme="minorHAnsi"/>
        </w:rPr>
        <w:t>do ČR se</w:t>
      </w:r>
      <w:r w:rsidR="00292BD6" w:rsidRPr="00B07D79">
        <w:rPr>
          <w:rFonts w:asciiTheme="minorHAnsi" w:hAnsiTheme="minorHAnsi"/>
        </w:rPr>
        <w:t> </w:t>
      </w:r>
      <w:r w:rsidRPr="00B07D79">
        <w:rPr>
          <w:rFonts w:asciiTheme="minorHAnsi" w:hAnsiTheme="minorHAnsi"/>
        </w:rPr>
        <w:t xml:space="preserve">budou dostávat spíše výjimečně přebytky. Naplní-li se předpoklady </w:t>
      </w:r>
      <w:r w:rsidRPr="00B07D79">
        <w:rPr>
          <w:rFonts w:asciiTheme="minorHAnsi" w:hAnsiTheme="minorHAnsi"/>
          <w:lang w:val="en-GB"/>
        </w:rPr>
        <w:t xml:space="preserve">Atlantic consulting </w:t>
      </w:r>
      <w:r w:rsidRPr="00B07D79">
        <w:rPr>
          <w:rFonts w:asciiTheme="minorHAnsi" w:hAnsiTheme="minorHAnsi"/>
        </w:rPr>
        <w:t>a</w:t>
      </w:r>
      <w:r w:rsidR="00CF2351" w:rsidRPr="00B07D79">
        <w:rPr>
          <w:rFonts w:asciiTheme="minorHAnsi" w:hAnsiTheme="minorHAnsi"/>
        </w:rPr>
        <w:t> </w:t>
      </w:r>
      <w:r w:rsidRPr="00B07D79">
        <w:rPr>
          <w:rFonts w:asciiTheme="minorHAnsi" w:hAnsiTheme="minorHAnsi"/>
        </w:rPr>
        <w:t>v roce 2030 bude v</w:t>
      </w:r>
      <w:r w:rsidR="00CF2351" w:rsidRPr="00B07D79">
        <w:rPr>
          <w:rFonts w:asciiTheme="minorHAnsi" w:hAnsiTheme="minorHAnsi"/>
        </w:rPr>
        <w:t> </w:t>
      </w:r>
      <w:r w:rsidRPr="00B07D79">
        <w:rPr>
          <w:rFonts w:asciiTheme="minorHAnsi" w:hAnsiTheme="minorHAnsi"/>
        </w:rPr>
        <w:t>EU k</w:t>
      </w:r>
      <w:r w:rsidR="00CF2351" w:rsidRPr="00B07D79">
        <w:rPr>
          <w:rFonts w:asciiTheme="minorHAnsi" w:hAnsiTheme="minorHAnsi"/>
        </w:rPr>
        <w:t> </w:t>
      </w:r>
      <w:r w:rsidRPr="00B07D79">
        <w:rPr>
          <w:rFonts w:asciiTheme="minorHAnsi" w:hAnsiTheme="minorHAnsi"/>
        </w:rPr>
        <w:t>dispozici až 30</w:t>
      </w:r>
      <w:r w:rsidR="0056255D" w:rsidRPr="00B07D79">
        <w:rPr>
          <w:rFonts w:asciiTheme="minorHAnsi" w:hAnsiTheme="minorHAnsi"/>
        </w:rPr>
        <w:t xml:space="preserve"> </w:t>
      </w:r>
      <w:r w:rsidRPr="00B07D79">
        <w:rPr>
          <w:rFonts w:asciiTheme="minorHAnsi" w:hAnsiTheme="minorHAnsi"/>
        </w:rPr>
        <w:t>% LPG v</w:t>
      </w:r>
      <w:r w:rsidR="00CF2351" w:rsidRPr="00B07D79">
        <w:rPr>
          <w:rFonts w:asciiTheme="minorHAnsi" w:hAnsiTheme="minorHAnsi"/>
        </w:rPr>
        <w:t> </w:t>
      </w:r>
      <w:r w:rsidRPr="00B07D79">
        <w:rPr>
          <w:rFonts w:asciiTheme="minorHAnsi" w:hAnsiTheme="minorHAnsi"/>
        </w:rPr>
        <w:t>kvalitě bio, můžeme v</w:t>
      </w:r>
      <w:r w:rsidR="00CF2351" w:rsidRPr="00B07D79">
        <w:rPr>
          <w:rFonts w:asciiTheme="minorHAnsi" w:hAnsiTheme="minorHAnsi"/>
        </w:rPr>
        <w:t> </w:t>
      </w:r>
      <w:r w:rsidRPr="00B07D79">
        <w:rPr>
          <w:rFonts w:asciiTheme="minorHAnsi" w:hAnsiTheme="minorHAnsi"/>
        </w:rPr>
        <w:t>ČR očekávat v</w:t>
      </w:r>
      <w:r w:rsidR="00CF2351" w:rsidRPr="00B07D79">
        <w:rPr>
          <w:rFonts w:asciiTheme="minorHAnsi" w:hAnsiTheme="minorHAnsi"/>
        </w:rPr>
        <w:t> </w:t>
      </w:r>
      <w:r w:rsidRPr="00B07D79">
        <w:rPr>
          <w:rFonts w:asciiTheme="minorHAnsi" w:hAnsiTheme="minorHAnsi"/>
        </w:rPr>
        <w:t>roce 2030 zhruba 5% podíl na trhu (cca 5</w:t>
      </w:r>
      <w:r w:rsidR="0056255D" w:rsidRPr="00B07D79">
        <w:rPr>
          <w:rFonts w:asciiTheme="minorHAnsi" w:hAnsiTheme="minorHAnsi"/>
        </w:rPr>
        <w:t xml:space="preserve"> </w:t>
      </w:r>
      <w:r w:rsidRPr="00B07D79">
        <w:rPr>
          <w:rFonts w:asciiTheme="minorHAnsi" w:hAnsiTheme="minorHAnsi"/>
        </w:rPr>
        <w:t>000 tun), přičemž první viditelné množství se objeví až</w:t>
      </w:r>
      <w:r w:rsidR="00292BD6" w:rsidRPr="00B07D79">
        <w:rPr>
          <w:rFonts w:asciiTheme="minorHAnsi" w:hAnsiTheme="minorHAnsi"/>
        </w:rPr>
        <w:t> </w:t>
      </w:r>
      <w:r w:rsidRPr="00B07D79">
        <w:rPr>
          <w:rFonts w:asciiTheme="minorHAnsi" w:hAnsiTheme="minorHAnsi"/>
        </w:rPr>
        <w:t>po</w:t>
      </w:r>
      <w:r w:rsidR="00292BD6" w:rsidRPr="00B07D79">
        <w:rPr>
          <w:rFonts w:asciiTheme="minorHAnsi" w:hAnsiTheme="minorHAnsi"/>
        </w:rPr>
        <w:t> </w:t>
      </w:r>
      <w:r w:rsidRPr="00B07D79">
        <w:rPr>
          <w:rFonts w:asciiTheme="minorHAnsi" w:hAnsiTheme="minorHAnsi"/>
        </w:rPr>
        <w:t>roce 2025</w:t>
      </w:r>
      <w:r w:rsidR="00292BD6" w:rsidRPr="00B07D79">
        <w:rPr>
          <w:rFonts w:asciiTheme="minorHAnsi" w:hAnsiTheme="minorHAnsi"/>
        </w:rPr>
        <w:t>.</w:t>
      </w:r>
    </w:p>
    <w:p w14:paraId="33FC72C4" w14:textId="3BA876D5" w:rsidR="00BF2BD1" w:rsidRPr="00516C35" w:rsidRDefault="00BF2BD1" w:rsidP="00B07D79">
      <w:pPr>
        <w:spacing w:line="276" w:lineRule="auto"/>
        <w:jc w:val="both"/>
        <w:rPr>
          <w:rFonts w:asciiTheme="minorHAnsi" w:hAnsiTheme="minorHAnsi"/>
          <w:color w:val="538135" w:themeColor="accent6" w:themeShade="BF"/>
        </w:rPr>
      </w:pPr>
      <w:r w:rsidRPr="00516C35">
        <w:rPr>
          <w:rFonts w:asciiTheme="minorHAnsi" w:hAnsiTheme="minorHAnsi"/>
          <w:color w:val="538135" w:themeColor="accent6" w:themeShade="BF"/>
        </w:rPr>
        <w:t>Scénář B</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(bio) – rychlý růst podílu bioLPG</w:t>
      </w:r>
    </w:p>
    <w:p w14:paraId="76CB99BF" w14:textId="2BBC88D5" w:rsidR="00BF2BD1" w:rsidRPr="00B07D79" w:rsidRDefault="00BF2BD1" w:rsidP="00B07D79">
      <w:pPr>
        <w:spacing w:line="276" w:lineRule="auto"/>
        <w:jc w:val="both"/>
        <w:rPr>
          <w:rFonts w:asciiTheme="minorHAnsi" w:hAnsiTheme="minorHAnsi"/>
        </w:rPr>
      </w:pPr>
      <w:r w:rsidRPr="00B07D79">
        <w:rPr>
          <w:rFonts w:asciiTheme="minorHAnsi" w:hAnsiTheme="minorHAnsi"/>
        </w:rPr>
        <w:t>Tento scénář vychází z</w:t>
      </w:r>
      <w:r w:rsidR="00CF2351" w:rsidRPr="00B07D79">
        <w:rPr>
          <w:rFonts w:asciiTheme="minorHAnsi" w:hAnsiTheme="minorHAnsi"/>
        </w:rPr>
        <w:t> </w:t>
      </w:r>
      <w:r w:rsidRPr="00B07D79">
        <w:rPr>
          <w:rFonts w:asciiTheme="minorHAnsi" w:hAnsiTheme="minorHAnsi"/>
        </w:rPr>
        <w:t>předpokladu, že stát připraví investiční pobídky a</w:t>
      </w:r>
      <w:r w:rsidR="00CF2351" w:rsidRPr="00B07D79">
        <w:rPr>
          <w:rFonts w:asciiTheme="minorHAnsi" w:hAnsiTheme="minorHAnsi"/>
        </w:rPr>
        <w:t> </w:t>
      </w:r>
      <w:r w:rsidRPr="00B07D79">
        <w:rPr>
          <w:rFonts w:asciiTheme="minorHAnsi" w:hAnsiTheme="minorHAnsi"/>
        </w:rPr>
        <w:t>provozní kompenzace pro investory podobně, jak to činí u</w:t>
      </w:r>
      <w:r w:rsidR="00CF2351" w:rsidRPr="00B07D79">
        <w:rPr>
          <w:rFonts w:asciiTheme="minorHAnsi" w:hAnsiTheme="minorHAnsi"/>
        </w:rPr>
        <w:t> </w:t>
      </w:r>
      <w:r w:rsidRPr="00B07D79">
        <w:rPr>
          <w:rFonts w:asciiTheme="minorHAnsi" w:hAnsiTheme="minorHAnsi"/>
        </w:rPr>
        <w:t>jiných alternativních paliv. V</w:t>
      </w:r>
      <w:r w:rsidR="00CF2351" w:rsidRPr="00B07D79">
        <w:rPr>
          <w:rFonts w:asciiTheme="minorHAnsi" w:hAnsiTheme="minorHAnsi"/>
        </w:rPr>
        <w:t> </w:t>
      </w:r>
      <w:r w:rsidRPr="00B07D79">
        <w:rPr>
          <w:rFonts w:asciiTheme="minorHAnsi" w:hAnsiTheme="minorHAnsi"/>
        </w:rPr>
        <w:t xml:space="preserve">takovém případě se </w:t>
      </w:r>
      <w:r w:rsidR="00292BD6" w:rsidRPr="00B07D79">
        <w:rPr>
          <w:rFonts w:asciiTheme="minorHAnsi" w:hAnsiTheme="minorHAnsi"/>
        </w:rPr>
        <w:t>ČR</w:t>
      </w:r>
      <w:r w:rsidRPr="00B07D79">
        <w:rPr>
          <w:rFonts w:asciiTheme="minorHAnsi" w:hAnsiTheme="minorHAnsi"/>
        </w:rPr>
        <w:t xml:space="preserve"> zařadí k</w:t>
      </w:r>
      <w:r w:rsidR="00CF2351" w:rsidRPr="00B07D79">
        <w:rPr>
          <w:rFonts w:asciiTheme="minorHAnsi" w:hAnsiTheme="minorHAnsi"/>
        </w:rPr>
        <w:t> </w:t>
      </w:r>
      <w:r w:rsidRPr="00B07D79">
        <w:rPr>
          <w:rFonts w:asciiTheme="minorHAnsi" w:hAnsiTheme="minorHAnsi"/>
        </w:rPr>
        <w:t>zemím, kde se bioLPG bude vyrábět a</w:t>
      </w:r>
      <w:r w:rsidR="00CF2351" w:rsidRPr="00B07D79">
        <w:rPr>
          <w:rFonts w:asciiTheme="minorHAnsi" w:hAnsiTheme="minorHAnsi"/>
        </w:rPr>
        <w:t> </w:t>
      </w:r>
      <w:r w:rsidRPr="00B07D79">
        <w:rPr>
          <w:rFonts w:asciiTheme="minorHAnsi" w:hAnsiTheme="minorHAnsi"/>
        </w:rPr>
        <w:t>bude v</w:t>
      </w:r>
      <w:r w:rsidR="00CF2351" w:rsidRPr="00B07D79">
        <w:rPr>
          <w:rFonts w:asciiTheme="minorHAnsi" w:hAnsiTheme="minorHAnsi"/>
        </w:rPr>
        <w:t> </w:t>
      </w:r>
      <w:r w:rsidRPr="00B07D79">
        <w:rPr>
          <w:rFonts w:asciiTheme="minorHAnsi" w:hAnsiTheme="minorHAnsi"/>
        </w:rPr>
        <w:t>relativně rychlé době dostupné v</w:t>
      </w:r>
      <w:r w:rsidR="00CF2351" w:rsidRPr="00B07D79">
        <w:rPr>
          <w:rFonts w:asciiTheme="minorHAnsi" w:hAnsiTheme="minorHAnsi"/>
        </w:rPr>
        <w:t> </w:t>
      </w:r>
      <w:r w:rsidRPr="00B07D79">
        <w:rPr>
          <w:rFonts w:asciiTheme="minorHAnsi" w:hAnsiTheme="minorHAnsi"/>
        </w:rPr>
        <w:t>zajímavých objemech. První dodávky z</w:t>
      </w:r>
      <w:r w:rsidR="00CF2351" w:rsidRPr="00B07D79">
        <w:rPr>
          <w:rFonts w:asciiTheme="minorHAnsi" w:hAnsiTheme="minorHAnsi"/>
        </w:rPr>
        <w:t> </w:t>
      </w:r>
      <w:r w:rsidRPr="00B07D79">
        <w:rPr>
          <w:rFonts w:asciiTheme="minorHAnsi" w:hAnsiTheme="minorHAnsi"/>
        </w:rPr>
        <w:t>domácí produkce by bylo možno očekávat kolem roku 2023 s</w:t>
      </w:r>
      <w:r w:rsidR="00CF2351" w:rsidRPr="00B07D79">
        <w:rPr>
          <w:rFonts w:asciiTheme="minorHAnsi" w:hAnsiTheme="minorHAnsi"/>
        </w:rPr>
        <w:t> </w:t>
      </w:r>
      <w:r w:rsidRPr="00B07D79">
        <w:rPr>
          <w:rFonts w:asciiTheme="minorHAnsi" w:hAnsiTheme="minorHAnsi"/>
        </w:rPr>
        <w:t>tím, že zpočátku pomalý nárůst ke konci desetiletí zrychlí a</w:t>
      </w:r>
      <w:r w:rsidR="00CF2351" w:rsidRPr="00B07D79">
        <w:rPr>
          <w:rFonts w:asciiTheme="minorHAnsi" w:hAnsiTheme="minorHAnsi"/>
        </w:rPr>
        <w:t> </w:t>
      </w:r>
      <w:r w:rsidRPr="00B07D79">
        <w:rPr>
          <w:rFonts w:asciiTheme="minorHAnsi" w:hAnsiTheme="minorHAnsi"/>
        </w:rPr>
        <w:t>v roce 2030 by bioLPG mohlo představovat až 30</w:t>
      </w:r>
      <w:r w:rsidR="005407E7" w:rsidRPr="00B07D79">
        <w:rPr>
          <w:rFonts w:asciiTheme="minorHAnsi" w:hAnsiTheme="minorHAnsi"/>
        </w:rPr>
        <w:t xml:space="preserve"> </w:t>
      </w:r>
      <w:r w:rsidRPr="00B07D79">
        <w:rPr>
          <w:rFonts w:asciiTheme="minorHAnsi" w:hAnsiTheme="minorHAnsi"/>
        </w:rPr>
        <w:t>% všech dodávek LPG do dopravy (vztaženo k</w:t>
      </w:r>
      <w:r w:rsidR="00CF2351" w:rsidRPr="00B07D79">
        <w:rPr>
          <w:rFonts w:asciiTheme="minorHAnsi" w:hAnsiTheme="minorHAnsi"/>
        </w:rPr>
        <w:t> </w:t>
      </w:r>
      <w:r w:rsidRPr="00B07D79">
        <w:rPr>
          <w:rFonts w:asciiTheme="minorHAnsi" w:hAnsiTheme="minorHAnsi"/>
        </w:rPr>
        <w:t>dnešním prodejům, tedy asi 30</w:t>
      </w:r>
      <w:r w:rsidR="00AA36C4" w:rsidRPr="00B07D79">
        <w:rPr>
          <w:rFonts w:asciiTheme="minorHAnsi" w:hAnsiTheme="minorHAnsi"/>
        </w:rPr>
        <w:t xml:space="preserve"> </w:t>
      </w:r>
      <w:r w:rsidRPr="00B07D79">
        <w:rPr>
          <w:rFonts w:asciiTheme="minorHAnsi" w:hAnsiTheme="minorHAnsi"/>
        </w:rPr>
        <w:t>000 tun).</w:t>
      </w:r>
    </w:p>
    <w:p w14:paraId="7BD63EB3" w14:textId="14A4F6FC" w:rsidR="00BF2BD1" w:rsidRPr="00B07D79" w:rsidRDefault="00BF2BD1" w:rsidP="00B07D79">
      <w:pPr>
        <w:spacing w:line="276" w:lineRule="auto"/>
        <w:jc w:val="both"/>
        <w:rPr>
          <w:rFonts w:asciiTheme="minorHAnsi" w:hAnsiTheme="minorHAnsi"/>
        </w:rPr>
      </w:pPr>
      <w:r w:rsidRPr="00B07D79">
        <w:rPr>
          <w:rFonts w:asciiTheme="minorHAnsi" w:hAnsiTheme="minorHAnsi"/>
        </w:rPr>
        <w:t>Z pohledu státu i</w:t>
      </w:r>
      <w:r w:rsidR="00CF2351" w:rsidRPr="00B07D79">
        <w:rPr>
          <w:rFonts w:asciiTheme="minorHAnsi" w:hAnsiTheme="minorHAnsi"/>
        </w:rPr>
        <w:t> </w:t>
      </w:r>
      <w:r w:rsidRPr="00B07D79">
        <w:rPr>
          <w:rFonts w:asciiTheme="minorHAnsi" w:hAnsiTheme="minorHAnsi"/>
        </w:rPr>
        <w:t>koncového spotřebitele je zřejmě lepší pracovat se scénářem F. Ukazuje se</w:t>
      </w:r>
      <w:r w:rsidR="00422864" w:rsidRPr="00B07D79">
        <w:rPr>
          <w:rFonts w:asciiTheme="minorHAnsi" w:hAnsiTheme="minorHAnsi"/>
        </w:rPr>
        <w:t> </w:t>
      </w:r>
      <w:r w:rsidRPr="00B07D79">
        <w:rPr>
          <w:rFonts w:asciiTheme="minorHAnsi" w:hAnsiTheme="minorHAnsi"/>
        </w:rPr>
        <w:t>totiž, že uměle podpořené spotřebitelské chování se drží změny tak dlouho, dokud trvá podpora, následně se spotřebitelé většinově vrací ke starým zvykům. Pokud by už k</w:t>
      </w:r>
      <w:r w:rsidR="00CF2351" w:rsidRPr="00B07D79">
        <w:rPr>
          <w:rFonts w:asciiTheme="minorHAnsi" w:hAnsiTheme="minorHAnsi"/>
        </w:rPr>
        <w:t> </w:t>
      </w:r>
      <w:r w:rsidRPr="00B07D79">
        <w:rPr>
          <w:rFonts w:asciiTheme="minorHAnsi" w:hAnsiTheme="minorHAnsi"/>
        </w:rPr>
        <w:t>nějaké podpoře mělo dojít, spíše by se měla týkat výroby biopaliv než snahy změnit spotřebitelské chování.</w:t>
      </w:r>
    </w:p>
    <w:p w14:paraId="65306537" w14:textId="0757A901" w:rsidR="00BF2BD1" w:rsidRPr="00516C35" w:rsidRDefault="00BF2BD1" w:rsidP="00B07D79">
      <w:pPr>
        <w:spacing w:line="276" w:lineRule="auto"/>
        <w:jc w:val="both"/>
        <w:rPr>
          <w:rFonts w:asciiTheme="minorHAnsi" w:hAnsiTheme="minorHAnsi"/>
          <w:color w:val="385623" w:themeColor="accent6" w:themeShade="80"/>
          <w:sz w:val="24"/>
        </w:rPr>
      </w:pPr>
      <w:r w:rsidRPr="00516C35">
        <w:rPr>
          <w:rFonts w:asciiTheme="minorHAnsi" w:hAnsiTheme="minorHAnsi"/>
          <w:color w:val="385623" w:themeColor="accent6" w:themeShade="80"/>
          <w:sz w:val="24"/>
        </w:rPr>
        <w:t>Predikce výrobců a</w:t>
      </w:r>
      <w:r w:rsidR="00CF2351" w:rsidRPr="00516C35">
        <w:rPr>
          <w:rFonts w:asciiTheme="minorHAnsi" w:hAnsiTheme="minorHAnsi"/>
          <w:color w:val="385623" w:themeColor="accent6" w:themeShade="80"/>
          <w:sz w:val="24"/>
        </w:rPr>
        <w:t> </w:t>
      </w:r>
      <w:r w:rsidRPr="00516C35">
        <w:rPr>
          <w:rFonts w:asciiTheme="minorHAnsi" w:hAnsiTheme="minorHAnsi"/>
          <w:color w:val="385623" w:themeColor="accent6" w:themeShade="80"/>
          <w:sz w:val="24"/>
        </w:rPr>
        <w:t>distributorů vozidel na trhu ČR</w:t>
      </w:r>
    </w:p>
    <w:p w14:paraId="744A8D06"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Z hlediska počtu vozů na trhu tak mohou nastat tři scénáře:</w:t>
      </w:r>
    </w:p>
    <w:p w14:paraId="6B110AA0" w14:textId="6B0AFFBD" w:rsidR="00BF2BD1" w:rsidRPr="00516C35" w:rsidRDefault="00BF2BD1" w:rsidP="00B07D79">
      <w:pPr>
        <w:spacing w:line="276" w:lineRule="auto"/>
        <w:jc w:val="both"/>
        <w:rPr>
          <w:rFonts w:asciiTheme="minorHAnsi" w:hAnsiTheme="minorHAnsi"/>
          <w:color w:val="538135" w:themeColor="accent6" w:themeShade="BF"/>
        </w:rPr>
      </w:pPr>
      <w:r w:rsidRPr="00516C35">
        <w:rPr>
          <w:rFonts w:asciiTheme="minorHAnsi" w:hAnsiTheme="minorHAnsi"/>
          <w:color w:val="538135" w:themeColor="accent6" w:themeShade="BF"/>
        </w:rPr>
        <w:t>Scénář S</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(stagnace) – počet vozů zůstane stabilizován na stávajícím počtu</w:t>
      </w:r>
    </w:p>
    <w:p w14:paraId="07D18840" w14:textId="04594705" w:rsidR="00BF2BD1" w:rsidRPr="00B07D79" w:rsidRDefault="00BF2BD1" w:rsidP="00B07D79">
      <w:pPr>
        <w:spacing w:line="276" w:lineRule="auto"/>
        <w:jc w:val="both"/>
        <w:rPr>
          <w:rFonts w:asciiTheme="minorHAnsi" w:hAnsiTheme="minorHAnsi"/>
        </w:rPr>
      </w:pPr>
      <w:r w:rsidRPr="00B07D79">
        <w:rPr>
          <w:rFonts w:asciiTheme="minorHAnsi" w:hAnsiTheme="minorHAnsi"/>
        </w:rPr>
        <w:t>Na trh LPG se budou postupně dostávat přestavěné vozy s</w:t>
      </w:r>
      <w:r w:rsidR="00CF2351" w:rsidRPr="00B07D79">
        <w:rPr>
          <w:rFonts w:asciiTheme="minorHAnsi" w:hAnsiTheme="minorHAnsi"/>
        </w:rPr>
        <w:t> </w:t>
      </w:r>
      <w:r w:rsidRPr="00B07D79">
        <w:rPr>
          <w:rFonts w:asciiTheme="minorHAnsi" w:hAnsiTheme="minorHAnsi"/>
        </w:rPr>
        <w:t>přímým vstřikem. Ročně se podaří přestavět kolem 15</w:t>
      </w:r>
      <w:r w:rsidR="00AA36C4" w:rsidRPr="00B07D79">
        <w:rPr>
          <w:rFonts w:asciiTheme="minorHAnsi" w:hAnsiTheme="minorHAnsi"/>
        </w:rPr>
        <w:t xml:space="preserve"> </w:t>
      </w:r>
      <w:r w:rsidRPr="00B07D79">
        <w:rPr>
          <w:rFonts w:asciiTheme="minorHAnsi" w:hAnsiTheme="minorHAnsi"/>
        </w:rPr>
        <w:t>000 až 20</w:t>
      </w:r>
      <w:r w:rsidR="00AA36C4" w:rsidRPr="00B07D79">
        <w:rPr>
          <w:rFonts w:asciiTheme="minorHAnsi" w:hAnsiTheme="minorHAnsi"/>
        </w:rPr>
        <w:t xml:space="preserve"> </w:t>
      </w:r>
      <w:r w:rsidRPr="00B07D79">
        <w:rPr>
          <w:rFonts w:asciiTheme="minorHAnsi" w:hAnsiTheme="minorHAnsi"/>
        </w:rPr>
        <w:t>000 vozidel, čímž bude zajištěna průběžná obnova autoparku čítajícího 170</w:t>
      </w:r>
      <w:r w:rsidR="00AA36C4" w:rsidRPr="00B07D79">
        <w:rPr>
          <w:rFonts w:asciiTheme="minorHAnsi" w:hAnsiTheme="minorHAnsi"/>
        </w:rPr>
        <w:t xml:space="preserve"> </w:t>
      </w:r>
      <w:r w:rsidRPr="00B07D79">
        <w:rPr>
          <w:rFonts w:asciiTheme="minorHAnsi" w:hAnsiTheme="minorHAnsi"/>
        </w:rPr>
        <w:t>000 vozů. Spotřeba LPG tak ani neporoste, ani neklesne. Podmínkou takového vývoje je zachování sazby spotřební daně LPG na spodní hranici požadované Evropskou unií</w:t>
      </w:r>
      <w:r w:rsidR="003B0A7B" w:rsidRPr="00B07D79">
        <w:rPr>
          <w:rFonts w:asciiTheme="minorHAnsi" w:hAnsiTheme="minorHAnsi"/>
        </w:rPr>
        <w:t>.</w:t>
      </w:r>
    </w:p>
    <w:p w14:paraId="0C64B6ED" w14:textId="1BAC27C0" w:rsidR="00BF2BD1" w:rsidRPr="00516C35" w:rsidRDefault="00BF2BD1" w:rsidP="00B07D79">
      <w:pPr>
        <w:spacing w:line="276" w:lineRule="auto"/>
        <w:jc w:val="both"/>
        <w:rPr>
          <w:rFonts w:asciiTheme="minorHAnsi" w:hAnsiTheme="minorHAnsi"/>
          <w:color w:val="538135" w:themeColor="accent6" w:themeShade="BF"/>
        </w:rPr>
      </w:pPr>
      <w:r w:rsidRPr="00516C35">
        <w:rPr>
          <w:rFonts w:asciiTheme="minorHAnsi" w:hAnsiTheme="minorHAnsi"/>
          <w:color w:val="538135" w:themeColor="accent6" w:themeShade="BF"/>
        </w:rPr>
        <w:t>Scénář R</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(růst) – počet vozů poroste k</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hranici až 250</w:t>
      </w:r>
      <w:r w:rsidR="00AA36C4" w:rsidRPr="00516C35">
        <w:rPr>
          <w:rFonts w:asciiTheme="minorHAnsi" w:hAnsiTheme="minorHAnsi"/>
          <w:color w:val="538135" w:themeColor="accent6" w:themeShade="BF"/>
        </w:rPr>
        <w:t xml:space="preserve"> </w:t>
      </w:r>
      <w:r w:rsidRPr="00516C35">
        <w:rPr>
          <w:rFonts w:asciiTheme="minorHAnsi" w:hAnsiTheme="minorHAnsi"/>
          <w:color w:val="538135" w:themeColor="accent6" w:themeShade="BF"/>
        </w:rPr>
        <w:t>000 vozů</w:t>
      </w:r>
    </w:p>
    <w:p w14:paraId="0ECA5401" w14:textId="0252F6DA" w:rsidR="00BF2BD1" w:rsidRPr="00B07D79" w:rsidRDefault="00BF2BD1" w:rsidP="00B07D79">
      <w:pPr>
        <w:spacing w:line="276" w:lineRule="auto"/>
        <w:jc w:val="both"/>
        <w:rPr>
          <w:rFonts w:asciiTheme="minorHAnsi" w:hAnsiTheme="minorHAnsi"/>
        </w:rPr>
      </w:pPr>
      <w:r w:rsidRPr="00B07D79">
        <w:rPr>
          <w:rFonts w:asciiTheme="minorHAnsi" w:hAnsiTheme="minorHAnsi"/>
        </w:rPr>
        <w:t>Optimistický scénář vychází z</w:t>
      </w:r>
      <w:r w:rsidR="00CF2351" w:rsidRPr="00B07D79">
        <w:rPr>
          <w:rFonts w:asciiTheme="minorHAnsi" w:hAnsiTheme="minorHAnsi"/>
        </w:rPr>
        <w:t> </w:t>
      </w:r>
      <w:r w:rsidRPr="00B07D79">
        <w:rPr>
          <w:rFonts w:asciiTheme="minorHAnsi" w:hAnsiTheme="minorHAnsi"/>
        </w:rPr>
        <w:t>cílového předpokladu DG MOVE (2018), že plynová paliva (CNG a</w:t>
      </w:r>
      <w:r w:rsidR="00CF2351" w:rsidRPr="00B07D79">
        <w:rPr>
          <w:rFonts w:asciiTheme="minorHAnsi" w:hAnsiTheme="minorHAnsi"/>
        </w:rPr>
        <w:t> </w:t>
      </w:r>
      <w:r w:rsidRPr="00B07D79">
        <w:rPr>
          <w:rFonts w:asciiTheme="minorHAnsi" w:hAnsiTheme="minorHAnsi"/>
        </w:rPr>
        <w:t>LPG dohromady) si budou držet v</w:t>
      </w:r>
      <w:r w:rsidR="00CF2351" w:rsidRPr="00B07D79">
        <w:rPr>
          <w:rFonts w:asciiTheme="minorHAnsi" w:hAnsiTheme="minorHAnsi"/>
        </w:rPr>
        <w:t> </w:t>
      </w:r>
      <w:r w:rsidRPr="00B07D79">
        <w:rPr>
          <w:rFonts w:asciiTheme="minorHAnsi" w:hAnsiTheme="minorHAnsi"/>
        </w:rPr>
        <w:t xml:space="preserve">dopravě asi 6% podíl. Takové situace lze dosáhnout dalšími podpůrnými opatřeními stimulujícími využívání LPG jako paliva. Jde například </w:t>
      </w:r>
      <w:r w:rsidR="00774046" w:rsidRPr="00B07D79">
        <w:rPr>
          <w:rFonts w:asciiTheme="minorHAnsi" w:hAnsiTheme="minorHAnsi"/>
        </w:rPr>
        <w:t>o</w:t>
      </w:r>
      <w:r w:rsidR="00CF2351" w:rsidRPr="00B07D79">
        <w:rPr>
          <w:rFonts w:asciiTheme="minorHAnsi" w:hAnsiTheme="minorHAnsi"/>
        </w:rPr>
        <w:t> </w:t>
      </w:r>
      <w:r w:rsidR="00774046" w:rsidRPr="00B07D79">
        <w:rPr>
          <w:rFonts w:asciiTheme="minorHAnsi" w:hAnsiTheme="minorHAnsi"/>
        </w:rPr>
        <w:t>nízkoemisní</w:t>
      </w:r>
      <w:r w:rsidRPr="00B07D79">
        <w:rPr>
          <w:rFonts w:asciiTheme="minorHAnsi" w:hAnsiTheme="minorHAnsi"/>
        </w:rPr>
        <w:t xml:space="preserve"> zóny ve městech, nižší </w:t>
      </w:r>
      <w:r w:rsidRPr="00B07D79">
        <w:rPr>
          <w:rFonts w:asciiTheme="minorHAnsi" w:hAnsiTheme="minorHAnsi"/>
        </w:rPr>
        <w:lastRenderedPageBreak/>
        <w:t>dálniční poplatky, příspěvky na přestavby. Nárůst na</w:t>
      </w:r>
      <w:r w:rsidR="00422864" w:rsidRPr="00B07D79">
        <w:rPr>
          <w:rFonts w:asciiTheme="minorHAnsi" w:hAnsiTheme="minorHAnsi"/>
        </w:rPr>
        <w:t> </w:t>
      </w:r>
      <w:r w:rsidRPr="00B07D79">
        <w:rPr>
          <w:rFonts w:asciiTheme="minorHAnsi" w:hAnsiTheme="minorHAnsi"/>
        </w:rPr>
        <w:t>250</w:t>
      </w:r>
      <w:r w:rsidR="00422864" w:rsidRPr="00B07D79">
        <w:rPr>
          <w:rFonts w:asciiTheme="minorHAnsi" w:hAnsiTheme="minorHAnsi"/>
        </w:rPr>
        <w:t> </w:t>
      </w:r>
      <w:r w:rsidRPr="00B07D79">
        <w:rPr>
          <w:rFonts w:asciiTheme="minorHAnsi" w:hAnsiTheme="minorHAnsi"/>
        </w:rPr>
        <w:t>000 vozidel bude znamenat i</w:t>
      </w:r>
      <w:r w:rsidR="00CF2351" w:rsidRPr="00B07D79">
        <w:rPr>
          <w:rFonts w:asciiTheme="minorHAnsi" w:hAnsiTheme="minorHAnsi"/>
        </w:rPr>
        <w:t> </w:t>
      </w:r>
      <w:r w:rsidRPr="00B07D79">
        <w:rPr>
          <w:rFonts w:asciiTheme="minorHAnsi" w:hAnsiTheme="minorHAnsi"/>
        </w:rPr>
        <w:t>zvýšení spotřeby LPG v</w:t>
      </w:r>
      <w:r w:rsidR="00CF2351" w:rsidRPr="00B07D79">
        <w:rPr>
          <w:rFonts w:asciiTheme="minorHAnsi" w:hAnsiTheme="minorHAnsi"/>
        </w:rPr>
        <w:t> </w:t>
      </w:r>
      <w:r w:rsidRPr="00B07D79">
        <w:rPr>
          <w:rFonts w:asciiTheme="minorHAnsi" w:hAnsiTheme="minorHAnsi"/>
        </w:rPr>
        <w:t>dopravě na zhruba 150</w:t>
      </w:r>
      <w:r w:rsidR="008B04ED" w:rsidRPr="00B07D79">
        <w:rPr>
          <w:rFonts w:asciiTheme="minorHAnsi" w:hAnsiTheme="minorHAnsi"/>
        </w:rPr>
        <w:t xml:space="preserve"> </w:t>
      </w:r>
      <w:r w:rsidRPr="00B07D79">
        <w:rPr>
          <w:rFonts w:asciiTheme="minorHAnsi" w:hAnsiTheme="minorHAnsi"/>
        </w:rPr>
        <w:t>000 tun ročně. Podmínkou ovšem je, že stimulační opatření budou nastavena nejen pro CNG (a</w:t>
      </w:r>
      <w:r w:rsidR="008B04ED" w:rsidRPr="00B07D79">
        <w:rPr>
          <w:rFonts w:asciiTheme="minorHAnsi" w:hAnsiTheme="minorHAnsi"/>
        </w:rPr>
        <w:t> </w:t>
      </w:r>
      <w:r w:rsidRPr="00B07D79">
        <w:rPr>
          <w:rFonts w:asciiTheme="minorHAnsi" w:hAnsiTheme="minorHAnsi"/>
        </w:rPr>
        <w:t>bioCNG), ale také pro LPG a</w:t>
      </w:r>
      <w:r w:rsidR="00CF2351" w:rsidRPr="00B07D79">
        <w:rPr>
          <w:rFonts w:asciiTheme="minorHAnsi" w:hAnsiTheme="minorHAnsi"/>
        </w:rPr>
        <w:t> </w:t>
      </w:r>
      <w:r w:rsidRPr="00B07D79">
        <w:rPr>
          <w:rFonts w:asciiTheme="minorHAnsi" w:hAnsiTheme="minorHAnsi"/>
        </w:rPr>
        <w:t>bioLPG.</w:t>
      </w:r>
    </w:p>
    <w:p w14:paraId="03055CCB" w14:textId="03AFC417" w:rsidR="00BF2BD1" w:rsidRPr="00516C35" w:rsidRDefault="00BF2BD1" w:rsidP="00B07D79">
      <w:pPr>
        <w:spacing w:line="276" w:lineRule="auto"/>
        <w:jc w:val="both"/>
        <w:rPr>
          <w:rFonts w:asciiTheme="minorHAnsi" w:hAnsiTheme="minorHAnsi"/>
          <w:color w:val="538135" w:themeColor="accent6" w:themeShade="BF"/>
        </w:rPr>
      </w:pPr>
      <w:r w:rsidRPr="00516C35">
        <w:rPr>
          <w:rFonts w:asciiTheme="minorHAnsi" w:hAnsiTheme="minorHAnsi"/>
          <w:color w:val="538135" w:themeColor="accent6" w:themeShade="BF"/>
        </w:rPr>
        <w:t>Scénář P</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(pokles) – počet vozů bude pozvolna klesat a</w:t>
      </w:r>
      <w:r w:rsidR="00CF2351" w:rsidRPr="00516C35">
        <w:rPr>
          <w:rFonts w:asciiTheme="minorHAnsi" w:hAnsiTheme="minorHAnsi"/>
          <w:color w:val="538135" w:themeColor="accent6" w:themeShade="BF"/>
        </w:rPr>
        <w:t> </w:t>
      </w:r>
      <w:r w:rsidRPr="00516C35">
        <w:rPr>
          <w:rFonts w:asciiTheme="minorHAnsi" w:hAnsiTheme="minorHAnsi"/>
          <w:color w:val="538135" w:themeColor="accent6" w:themeShade="BF"/>
        </w:rPr>
        <w:t>trh LPG během následujících 15 let zcela zanikne</w:t>
      </w:r>
    </w:p>
    <w:p w14:paraId="7FC59496" w14:textId="3F8540B8" w:rsidR="00BF2BD1" w:rsidRPr="00B07D79" w:rsidRDefault="00BF2BD1" w:rsidP="00B07D79">
      <w:pPr>
        <w:spacing w:line="276" w:lineRule="auto"/>
        <w:jc w:val="both"/>
        <w:rPr>
          <w:rFonts w:asciiTheme="minorHAnsi" w:hAnsiTheme="minorHAnsi"/>
        </w:rPr>
      </w:pPr>
      <w:r w:rsidRPr="00B07D79">
        <w:rPr>
          <w:rFonts w:asciiTheme="minorHAnsi" w:hAnsiTheme="minorHAnsi"/>
        </w:rPr>
        <w:t>K tomuto scénáři by mohlo dojít za situace, kdy se stát bude k</w:t>
      </w:r>
      <w:r w:rsidR="00CF2351" w:rsidRPr="00B07D79">
        <w:rPr>
          <w:rFonts w:asciiTheme="minorHAnsi" w:hAnsiTheme="minorHAnsi"/>
        </w:rPr>
        <w:t> </w:t>
      </w:r>
      <w:r w:rsidRPr="00B07D79">
        <w:rPr>
          <w:rFonts w:asciiTheme="minorHAnsi" w:hAnsiTheme="minorHAnsi"/>
        </w:rPr>
        <w:t>LPG stavět jako ke „špinavému“ palivu, jeho dnešní uživatelé v</w:t>
      </w:r>
      <w:r w:rsidR="00CF2351" w:rsidRPr="00B07D79">
        <w:rPr>
          <w:rFonts w:asciiTheme="minorHAnsi" w:hAnsiTheme="minorHAnsi"/>
        </w:rPr>
        <w:t> </w:t>
      </w:r>
      <w:r w:rsidRPr="00B07D79">
        <w:rPr>
          <w:rFonts w:asciiTheme="minorHAnsi" w:hAnsiTheme="minorHAnsi"/>
        </w:rPr>
        <w:t>něm již nebudou vidět perspektivu a</w:t>
      </w:r>
      <w:r w:rsidR="00CF2351" w:rsidRPr="00B07D79">
        <w:rPr>
          <w:rFonts w:asciiTheme="minorHAnsi" w:hAnsiTheme="minorHAnsi"/>
        </w:rPr>
        <w:t> </w:t>
      </w:r>
      <w:r w:rsidRPr="00B07D79">
        <w:rPr>
          <w:rFonts w:asciiTheme="minorHAnsi" w:hAnsiTheme="minorHAnsi"/>
        </w:rPr>
        <w:t>nebudou mít zájem při</w:t>
      </w:r>
      <w:r w:rsidR="00422864" w:rsidRPr="00B07D79">
        <w:rPr>
          <w:rFonts w:asciiTheme="minorHAnsi" w:hAnsiTheme="minorHAnsi"/>
        </w:rPr>
        <w:t> </w:t>
      </w:r>
      <w:r w:rsidRPr="00B07D79">
        <w:rPr>
          <w:rFonts w:asciiTheme="minorHAnsi" w:hAnsiTheme="minorHAnsi"/>
        </w:rPr>
        <w:t>obnově vozu znovu investovat do přestavby. Méně LPG vozů v</w:t>
      </w:r>
      <w:r w:rsidR="00CF2351" w:rsidRPr="00B07D79">
        <w:rPr>
          <w:rFonts w:asciiTheme="minorHAnsi" w:hAnsiTheme="minorHAnsi"/>
        </w:rPr>
        <w:t> </w:t>
      </w:r>
      <w:r w:rsidRPr="00B07D79">
        <w:rPr>
          <w:rFonts w:asciiTheme="minorHAnsi" w:hAnsiTheme="minorHAnsi"/>
        </w:rPr>
        <w:t>provozu bude postupně znamenat méně specializovaných servisů, méně pln</w:t>
      </w:r>
      <w:r w:rsidR="00616D0B" w:rsidRPr="00B07D79">
        <w:rPr>
          <w:rFonts w:asciiTheme="minorHAnsi" w:hAnsiTheme="minorHAnsi"/>
        </w:rPr>
        <w:t>i</w:t>
      </w:r>
      <w:r w:rsidRPr="00B07D79">
        <w:rPr>
          <w:rFonts w:asciiTheme="minorHAnsi" w:hAnsiTheme="minorHAnsi"/>
        </w:rPr>
        <w:t>cích stanic a</w:t>
      </w:r>
      <w:r w:rsidR="00CF2351" w:rsidRPr="00B07D79">
        <w:rPr>
          <w:rFonts w:asciiTheme="minorHAnsi" w:hAnsiTheme="minorHAnsi"/>
        </w:rPr>
        <w:t> </w:t>
      </w:r>
      <w:r w:rsidRPr="00B07D79">
        <w:rPr>
          <w:rFonts w:asciiTheme="minorHAnsi" w:hAnsiTheme="minorHAnsi"/>
        </w:rPr>
        <w:t>klesající spirála nakonec povede k</w:t>
      </w:r>
      <w:r w:rsidR="00CF2351" w:rsidRPr="00B07D79">
        <w:rPr>
          <w:rFonts w:asciiTheme="minorHAnsi" w:hAnsiTheme="minorHAnsi"/>
        </w:rPr>
        <w:t> </w:t>
      </w:r>
      <w:r w:rsidRPr="00B07D79">
        <w:rPr>
          <w:rFonts w:asciiTheme="minorHAnsi" w:hAnsiTheme="minorHAnsi"/>
        </w:rPr>
        <w:t>opuštění LPG jako motorového paliva. Takový vývoj si lze představit, v</w:t>
      </w:r>
      <w:r w:rsidR="00CF2351" w:rsidRPr="00B07D79">
        <w:rPr>
          <w:rFonts w:asciiTheme="minorHAnsi" w:hAnsiTheme="minorHAnsi"/>
        </w:rPr>
        <w:t> </w:t>
      </w:r>
      <w:r w:rsidRPr="00B07D79">
        <w:rPr>
          <w:rFonts w:asciiTheme="minorHAnsi" w:hAnsiTheme="minorHAnsi"/>
        </w:rPr>
        <w:t>konečném důsledku ale bude znamenat, že 170</w:t>
      </w:r>
      <w:r w:rsidR="00AA36C4" w:rsidRPr="00B07D79">
        <w:rPr>
          <w:rFonts w:asciiTheme="minorHAnsi" w:hAnsiTheme="minorHAnsi"/>
        </w:rPr>
        <w:t xml:space="preserve"> </w:t>
      </w:r>
      <w:r w:rsidRPr="00B07D79">
        <w:rPr>
          <w:rFonts w:asciiTheme="minorHAnsi" w:hAnsiTheme="minorHAnsi"/>
        </w:rPr>
        <w:t>000 (a teoreticky až 250</w:t>
      </w:r>
      <w:r w:rsidR="00AA36C4" w:rsidRPr="00B07D79">
        <w:rPr>
          <w:rFonts w:asciiTheme="minorHAnsi" w:hAnsiTheme="minorHAnsi"/>
        </w:rPr>
        <w:t xml:space="preserve"> </w:t>
      </w:r>
      <w:r w:rsidRPr="00B07D79">
        <w:rPr>
          <w:rFonts w:asciiTheme="minorHAnsi" w:hAnsiTheme="minorHAnsi"/>
        </w:rPr>
        <w:t>000) vozů té nejhorší emisní třídy zůstane v</w:t>
      </w:r>
      <w:r w:rsidR="00CF2351" w:rsidRPr="00B07D79">
        <w:rPr>
          <w:rFonts w:asciiTheme="minorHAnsi" w:hAnsiTheme="minorHAnsi"/>
        </w:rPr>
        <w:t> </w:t>
      </w:r>
      <w:r w:rsidRPr="00B07D79">
        <w:rPr>
          <w:rFonts w:asciiTheme="minorHAnsi" w:hAnsiTheme="minorHAnsi"/>
        </w:rPr>
        <w:t>provozu na původní palivo – benzín, což bude mít na následek ve srovnání s</w:t>
      </w:r>
      <w:r w:rsidR="00CF2351" w:rsidRPr="00B07D79">
        <w:rPr>
          <w:rFonts w:asciiTheme="minorHAnsi" w:hAnsiTheme="minorHAnsi"/>
        </w:rPr>
        <w:t> </w:t>
      </w:r>
      <w:r w:rsidRPr="00B07D79">
        <w:rPr>
          <w:rFonts w:asciiTheme="minorHAnsi" w:hAnsiTheme="minorHAnsi"/>
        </w:rPr>
        <w:t>dneškem nárůst emisí CO</w:t>
      </w:r>
      <w:r w:rsidRPr="00B07D79">
        <w:rPr>
          <w:rFonts w:asciiTheme="minorHAnsi" w:hAnsiTheme="minorHAnsi"/>
          <w:vertAlign w:val="subscript"/>
        </w:rPr>
        <w:t>2</w:t>
      </w:r>
      <w:r w:rsidRPr="00B07D79">
        <w:rPr>
          <w:rFonts w:asciiTheme="minorHAnsi" w:hAnsiTheme="minorHAnsi"/>
        </w:rPr>
        <w:t xml:space="preserve"> i</w:t>
      </w:r>
      <w:r w:rsidR="00CF2351" w:rsidRPr="00B07D79">
        <w:rPr>
          <w:rFonts w:asciiTheme="minorHAnsi" w:hAnsiTheme="minorHAnsi"/>
        </w:rPr>
        <w:t> </w:t>
      </w:r>
      <w:r w:rsidRPr="00B07D79">
        <w:rPr>
          <w:rFonts w:asciiTheme="minorHAnsi" w:hAnsiTheme="minorHAnsi"/>
        </w:rPr>
        <w:t>ostatních škodlivých látek.</w:t>
      </w:r>
    </w:p>
    <w:p w14:paraId="59E22B37" w14:textId="7B0ACCBB" w:rsidR="00BF2BD1" w:rsidRPr="00516C35" w:rsidRDefault="00BF2BD1" w:rsidP="00B07D79">
      <w:pPr>
        <w:pStyle w:val="Titulek"/>
        <w:keepNext/>
        <w:spacing w:line="276" w:lineRule="auto"/>
        <w:jc w:val="both"/>
        <w:rPr>
          <w:rFonts w:asciiTheme="minorHAnsi" w:hAnsiTheme="minorHAnsi"/>
          <w:b w:val="0"/>
          <w:bCs w:val="0"/>
          <w:color w:val="385623" w:themeColor="accent6" w:themeShade="80"/>
        </w:rPr>
      </w:pPr>
      <w:r w:rsidRPr="00516C35">
        <w:rPr>
          <w:rFonts w:asciiTheme="minorHAnsi" w:hAnsiTheme="minorHAnsi"/>
          <w:b w:val="0"/>
          <w:bCs w:val="0"/>
          <w:color w:val="385623" w:themeColor="accent6" w:themeShade="80"/>
        </w:rPr>
        <w:t xml:space="preserve">Obrázek </w:t>
      </w:r>
      <w:r w:rsidR="007D4BC4" w:rsidRPr="00516C35">
        <w:rPr>
          <w:rFonts w:asciiTheme="minorHAnsi" w:hAnsiTheme="minorHAnsi"/>
          <w:b w:val="0"/>
          <w:bCs w:val="0"/>
          <w:color w:val="385623" w:themeColor="accent6" w:themeShade="80"/>
        </w:rPr>
        <w:t xml:space="preserve">37 </w:t>
      </w:r>
      <w:r w:rsidRPr="00516C35">
        <w:rPr>
          <w:rFonts w:asciiTheme="minorHAnsi" w:hAnsiTheme="minorHAnsi"/>
          <w:b w:val="0"/>
          <w:bCs w:val="0"/>
          <w:color w:val="385623" w:themeColor="accent6" w:themeShade="80"/>
        </w:rPr>
        <w:t>Spotřeba LPG na CZ trhu</w:t>
      </w:r>
    </w:p>
    <w:p w14:paraId="15162E20"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0EF444D7" wp14:editId="0E40AA8F">
            <wp:extent cx="5742432" cy="3204482"/>
            <wp:effectExtent l="0" t="0" r="0" b="0"/>
            <wp:docPr id="263508457" name="Obrázek 26350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 spotreba LPG a emise 2020 - 2030.pdf"/>
                    <pic:cNvPicPr/>
                  </pic:nvPicPr>
                  <pic:blipFill rotWithShape="1">
                    <a:blip r:embed="rId80">
                      <a:extLst>
                        <a:ext uri="{28A0092B-C50C-407E-A947-70E740481C1C}">
                          <a14:useLocalDpi xmlns:a14="http://schemas.microsoft.com/office/drawing/2010/main" val="0"/>
                        </a:ext>
                      </a:extLst>
                    </a:blip>
                    <a:srcRect t="9699" r="9333" b="23675"/>
                    <a:stretch/>
                  </pic:blipFill>
                  <pic:spPr bwMode="auto">
                    <a:xfrm>
                      <a:off x="0" y="0"/>
                      <a:ext cx="5743722" cy="3205202"/>
                    </a:xfrm>
                    <a:prstGeom prst="rect">
                      <a:avLst/>
                    </a:prstGeom>
                    <a:ln>
                      <a:noFill/>
                    </a:ln>
                    <a:extLst>
                      <a:ext uri="{53640926-AAD7-44D8-BBD7-CCE9431645EC}">
                        <a14:shadowObscured xmlns:a14="http://schemas.microsoft.com/office/drawing/2010/main"/>
                      </a:ext>
                    </a:extLst>
                  </pic:spPr>
                </pic:pic>
              </a:graphicData>
            </a:graphic>
          </wp:inline>
        </w:drawing>
      </w:r>
    </w:p>
    <w:p w14:paraId="357E1D5B" w14:textId="77777777" w:rsidR="00BF2BD1" w:rsidRPr="00516C35" w:rsidRDefault="00BF2BD1" w:rsidP="00B07D79">
      <w:pPr>
        <w:spacing w:line="276" w:lineRule="auto"/>
        <w:jc w:val="both"/>
        <w:rPr>
          <w:rFonts w:asciiTheme="minorHAnsi" w:hAnsiTheme="minorHAnsi"/>
          <w:color w:val="385623" w:themeColor="accent6" w:themeShade="80"/>
          <w:sz w:val="24"/>
        </w:rPr>
      </w:pPr>
      <w:r w:rsidRPr="00516C35">
        <w:rPr>
          <w:rFonts w:asciiTheme="minorHAnsi" w:hAnsiTheme="minorHAnsi"/>
          <w:color w:val="385623" w:themeColor="accent6" w:themeShade="80"/>
          <w:sz w:val="24"/>
        </w:rPr>
        <w:t>Kvantifikace úspor emisí CO</w:t>
      </w:r>
      <w:r w:rsidRPr="00516C35">
        <w:rPr>
          <w:rFonts w:asciiTheme="minorHAnsi" w:hAnsiTheme="minorHAnsi"/>
          <w:color w:val="385623" w:themeColor="accent6" w:themeShade="80"/>
          <w:sz w:val="24"/>
          <w:vertAlign w:val="subscript"/>
        </w:rPr>
        <w:t>2</w:t>
      </w:r>
      <w:r w:rsidRPr="00516C35">
        <w:rPr>
          <w:rFonts w:asciiTheme="minorHAnsi" w:hAnsiTheme="minorHAnsi"/>
          <w:color w:val="385623" w:themeColor="accent6" w:themeShade="80"/>
          <w:sz w:val="24"/>
        </w:rPr>
        <w:t xml:space="preserve"> pro navržené scénáře</w:t>
      </w:r>
    </w:p>
    <w:p w14:paraId="42390CCB"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Scénáře vývoje autoparku je nutno kombinovat se scénáři podílu bioLPG na trhu. </w:t>
      </w:r>
    </w:p>
    <w:p w14:paraId="21AC8E55"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V následujícím grafu jsou zapracovány následující scénáře </w:t>
      </w:r>
    </w:p>
    <w:p w14:paraId="73DD0A66" w14:textId="290A7F8A" w:rsidR="00BF2BD1" w:rsidRPr="00B07D79" w:rsidRDefault="00BF2BD1" w:rsidP="00B07D79">
      <w:pPr>
        <w:spacing w:line="276" w:lineRule="auto"/>
        <w:jc w:val="both"/>
        <w:rPr>
          <w:rFonts w:asciiTheme="minorHAnsi" w:hAnsiTheme="minorHAnsi"/>
        </w:rPr>
      </w:pPr>
      <w:r w:rsidRPr="00B07D79">
        <w:rPr>
          <w:rFonts w:asciiTheme="minorHAnsi" w:hAnsiTheme="minorHAnsi"/>
        </w:rPr>
        <w:t>FS – pomalý růst podílu bioLPG a</w:t>
      </w:r>
      <w:r w:rsidR="00CF2351" w:rsidRPr="00B07D79">
        <w:rPr>
          <w:rFonts w:asciiTheme="minorHAnsi" w:hAnsiTheme="minorHAnsi"/>
        </w:rPr>
        <w:t> </w:t>
      </w:r>
      <w:r w:rsidRPr="00B07D79">
        <w:rPr>
          <w:rFonts w:asciiTheme="minorHAnsi" w:hAnsiTheme="minorHAnsi"/>
        </w:rPr>
        <w:t>stagnace počtu vozidel</w:t>
      </w:r>
    </w:p>
    <w:p w14:paraId="01E4DBC0" w14:textId="25603E33" w:rsidR="00BF2BD1" w:rsidRPr="00B07D79" w:rsidRDefault="00BF2BD1" w:rsidP="00B07D79">
      <w:pPr>
        <w:spacing w:line="276" w:lineRule="auto"/>
        <w:jc w:val="both"/>
        <w:rPr>
          <w:rFonts w:asciiTheme="minorHAnsi" w:hAnsiTheme="minorHAnsi"/>
        </w:rPr>
      </w:pPr>
      <w:r w:rsidRPr="00B07D79">
        <w:rPr>
          <w:rFonts w:asciiTheme="minorHAnsi" w:hAnsiTheme="minorHAnsi"/>
        </w:rPr>
        <w:t>FR – pomalý růst podílu bioLPG a</w:t>
      </w:r>
      <w:r w:rsidR="00CF2351" w:rsidRPr="00B07D79">
        <w:rPr>
          <w:rFonts w:asciiTheme="minorHAnsi" w:hAnsiTheme="minorHAnsi"/>
        </w:rPr>
        <w:t> </w:t>
      </w:r>
      <w:r w:rsidRPr="00B07D79">
        <w:rPr>
          <w:rFonts w:asciiTheme="minorHAnsi" w:hAnsiTheme="minorHAnsi"/>
        </w:rPr>
        <w:t>nárůst vozidel na trhu</w:t>
      </w:r>
    </w:p>
    <w:p w14:paraId="43CF0F6B" w14:textId="201C6F6C" w:rsidR="00BF2BD1" w:rsidRPr="00B07D79" w:rsidRDefault="00BF2BD1" w:rsidP="00B07D79">
      <w:pPr>
        <w:spacing w:line="276" w:lineRule="auto"/>
        <w:jc w:val="both"/>
        <w:rPr>
          <w:rFonts w:asciiTheme="minorHAnsi" w:hAnsiTheme="minorHAnsi"/>
        </w:rPr>
      </w:pPr>
      <w:r w:rsidRPr="00B07D79">
        <w:rPr>
          <w:rFonts w:asciiTheme="minorHAnsi" w:hAnsiTheme="minorHAnsi"/>
        </w:rPr>
        <w:t>FP – pomalý růst podílu bioLPG a</w:t>
      </w:r>
      <w:r w:rsidR="00CF2351" w:rsidRPr="00B07D79">
        <w:rPr>
          <w:rFonts w:asciiTheme="minorHAnsi" w:hAnsiTheme="minorHAnsi"/>
        </w:rPr>
        <w:t> </w:t>
      </w:r>
      <w:r w:rsidRPr="00B07D79">
        <w:rPr>
          <w:rFonts w:asciiTheme="minorHAnsi" w:hAnsiTheme="minorHAnsi"/>
        </w:rPr>
        <w:t>pokles vozidel na trhu</w:t>
      </w:r>
    </w:p>
    <w:p w14:paraId="798F5E53" w14:textId="485DA067" w:rsidR="00BF2BD1" w:rsidRPr="00B07D79" w:rsidRDefault="00BF2BD1" w:rsidP="00B07D79">
      <w:pPr>
        <w:spacing w:line="276" w:lineRule="auto"/>
        <w:jc w:val="both"/>
        <w:rPr>
          <w:rFonts w:asciiTheme="minorHAnsi" w:hAnsiTheme="minorHAnsi"/>
        </w:rPr>
      </w:pPr>
      <w:r w:rsidRPr="00B07D79">
        <w:rPr>
          <w:rFonts w:asciiTheme="minorHAnsi" w:hAnsiTheme="minorHAnsi"/>
        </w:rPr>
        <w:t>BS – rychlý nástup bioLPG a</w:t>
      </w:r>
      <w:r w:rsidR="00CF2351" w:rsidRPr="00B07D79">
        <w:rPr>
          <w:rFonts w:asciiTheme="minorHAnsi" w:hAnsiTheme="minorHAnsi"/>
        </w:rPr>
        <w:t> </w:t>
      </w:r>
      <w:r w:rsidRPr="00B07D79">
        <w:rPr>
          <w:rFonts w:asciiTheme="minorHAnsi" w:hAnsiTheme="minorHAnsi"/>
        </w:rPr>
        <w:t>stagnace počtu vozidel</w:t>
      </w:r>
    </w:p>
    <w:p w14:paraId="0C22A0EC" w14:textId="78BBD04D" w:rsidR="00BF2BD1" w:rsidRPr="00B07D79" w:rsidRDefault="00BF2BD1" w:rsidP="00B07D79">
      <w:pPr>
        <w:spacing w:line="276" w:lineRule="auto"/>
        <w:jc w:val="both"/>
        <w:rPr>
          <w:rFonts w:asciiTheme="minorHAnsi" w:hAnsiTheme="minorHAnsi"/>
        </w:rPr>
      </w:pPr>
      <w:r w:rsidRPr="00B07D79">
        <w:rPr>
          <w:rFonts w:asciiTheme="minorHAnsi" w:hAnsiTheme="minorHAnsi"/>
        </w:rPr>
        <w:t>BR – rychlý nástup bioLPG a</w:t>
      </w:r>
      <w:r w:rsidR="00CF2351" w:rsidRPr="00B07D79">
        <w:rPr>
          <w:rFonts w:asciiTheme="minorHAnsi" w:hAnsiTheme="minorHAnsi"/>
        </w:rPr>
        <w:t> </w:t>
      </w:r>
      <w:r w:rsidRPr="00B07D79">
        <w:rPr>
          <w:rFonts w:asciiTheme="minorHAnsi" w:hAnsiTheme="minorHAnsi"/>
        </w:rPr>
        <w:t>nárůst vozidel na trhu</w:t>
      </w:r>
    </w:p>
    <w:p w14:paraId="2784407F" w14:textId="1A943184" w:rsidR="00BF2BD1" w:rsidRPr="00B07D79" w:rsidRDefault="00BF2BD1" w:rsidP="00B07D79">
      <w:pPr>
        <w:spacing w:line="276" w:lineRule="auto"/>
        <w:jc w:val="both"/>
        <w:rPr>
          <w:rFonts w:asciiTheme="minorHAnsi" w:hAnsiTheme="minorHAnsi"/>
        </w:rPr>
      </w:pPr>
      <w:r w:rsidRPr="00B07D79">
        <w:rPr>
          <w:rFonts w:asciiTheme="minorHAnsi" w:hAnsiTheme="minorHAnsi"/>
        </w:rPr>
        <w:t>Scénář BP nepřichází v</w:t>
      </w:r>
      <w:r w:rsidR="00CF2351" w:rsidRPr="00B07D79">
        <w:rPr>
          <w:rFonts w:asciiTheme="minorHAnsi" w:hAnsiTheme="minorHAnsi"/>
        </w:rPr>
        <w:t> </w:t>
      </w:r>
      <w:r w:rsidRPr="00B07D79">
        <w:rPr>
          <w:rFonts w:asciiTheme="minorHAnsi" w:hAnsiTheme="minorHAnsi"/>
        </w:rPr>
        <w:t>úvahu, pokud by mělo dojít k</w:t>
      </w:r>
      <w:r w:rsidR="00CF2351" w:rsidRPr="00B07D79">
        <w:rPr>
          <w:rFonts w:asciiTheme="minorHAnsi" w:hAnsiTheme="minorHAnsi"/>
        </w:rPr>
        <w:t> </w:t>
      </w:r>
      <w:r w:rsidRPr="00B07D79">
        <w:rPr>
          <w:rFonts w:asciiTheme="minorHAnsi" w:hAnsiTheme="minorHAnsi"/>
        </w:rPr>
        <w:t>zásadnímu poklesu vozidel na trhu, nedává smysl jakákoli investice do rozvoje nového paliva.</w:t>
      </w:r>
    </w:p>
    <w:p w14:paraId="17AB1BE9" w14:textId="1E460F0A" w:rsidR="00BF2BD1" w:rsidRPr="00B07D79" w:rsidRDefault="00BF2BD1" w:rsidP="00B07D79">
      <w:pPr>
        <w:spacing w:line="276" w:lineRule="auto"/>
        <w:jc w:val="both"/>
        <w:rPr>
          <w:rFonts w:asciiTheme="minorHAnsi" w:hAnsiTheme="minorHAnsi"/>
        </w:rPr>
      </w:pPr>
      <w:r w:rsidRPr="00B07D79">
        <w:rPr>
          <w:rFonts w:asciiTheme="minorHAnsi" w:hAnsiTheme="minorHAnsi"/>
        </w:rPr>
        <w:lastRenderedPageBreak/>
        <w:t>Všechny scénáře vycházejí z</w:t>
      </w:r>
      <w:r w:rsidR="00CF2351" w:rsidRPr="00B07D79">
        <w:rPr>
          <w:rFonts w:asciiTheme="minorHAnsi" w:hAnsiTheme="minorHAnsi"/>
        </w:rPr>
        <w:t> </w:t>
      </w:r>
      <w:r w:rsidRPr="00B07D79">
        <w:rPr>
          <w:rFonts w:asciiTheme="minorHAnsi" w:hAnsiTheme="minorHAnsi"/>
        </w:rPr>
        <w:t>hodnocení stejného množství vozů.</w:t>
      </w:r>
    </w:p>
    <w:p w14:paraId="1A5A6FF8" w14:textId="3CCE9017" w:rsidR="00BF2BD1" w:rsidRPr="00B07D79" w:rsidRDefault="00BF2BD1" w:rsidP="00B07D79">
      <w:pPr>
        <w:spacing w:line="276" w:lineRule="auto"/>
        <w:jc w:val="both"/>
        <w:rPr>
          <w:rFonts w:asciiTheme="minorHAnsi" w:hAnsiTheme="minorHAnsi"/>
        </w:rPr>
      </w:pPr>
      <w:r w:rsidRPr="00B07D79">
        <w:rPr>
          <w:rFonts w:asciiTheme="minorHAnsi" w:hAnsiTheme="minorHAnsi"/>
        </w:rPr>
        <w:t>Výpočet úspor vychází z</w:t>
      </w:r>
      <w:r w:rsidR="00CF2351" w:rsidRPr="00B07D79">
        <w:rPr>
          <w:rFonts w:asciiTheme="minorHAnsi" w:hAnsiTheme="minorHAnsi"/>
        </w:rPr>
        <w:t> </w:t>
      </w:r>
      <w:r w:rsidRPr="00B07D79">
        <w:rPr>
          <w:rFonts w:asciiTheme="minorHAnsi" w:hAnsiTheme="minorHAnsi"/>
        </w:rPr>
        <w:t>těchto předpokladů</w:t>
      </w:r>
    </w:p>
    <w:p w14:paraId="1A864B06" w14:textId="77777777"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spotřeba vozu BA = 7 litrů / 100 km</w:t>
      </w:r>
    </w:p>
    <w:p w14:paraId="2CF8D50F" w14:textId="097F2A89"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Spotřeba vozu LPG je o</w:t>
      </w:r>
      <w:r w:rsidR="00CF2351" w:rsidRPr="00B07D79">
        <w:rPr>
          <w:rFonts w:asciiTheme="minorHAnsi" w:hAnsiTheme="minorHAnsi"/>
        </w:rPr>
        <w:t> </w:t>
      </w:r>
      <w:r w:rsidRPr="00B07D79">
        <w:rPr>
          <w:rFonts w:asciiTheme="minorHAnsi" w:hAnsiTheme="minorHAnsi"/>
        </w:rPr>
        <w:t>15% vyšší (8,05 litru)</w:t>
      </w:r>
    </w:p>
    <w:p w14:paraId="61127CE9" w14:textId="58B37616"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hustoty a</w:t>
      </w:r>
      <w:r w:rsidR="00CF2351" w:rsidRPr="00B07D79">
        <w:rPr>
          <w:rFonts w:asciiTheme="minorHAnsi" w:hAnsiTheme="minorHAnsi"/>
        </w:rPr>
        <w:t> </w:t>
      </w:r>
      <w:r w:rsidRPr="00B07D79">
        <w:rPr>
          <w:rFonts w:asciiTheme="minorHAnsi" w:hAnsiTheme="minorHAnsi"/>
        </w:rPr>
        <w:t>energetický obsah převzaty z</w:t>
      </w:r>
      <w:r w:rsidR="00CF2351" w:rsidRPr="00B07D79">
        <w:rPr>
          <w:rFonts w:asciiTheme="minorHAnsi" w:hAnsiTheme="minorHAnsi"/>
        </w:rPr>
        <w:t> </w:t>
      </w:r>
      <w:r w:rsidRPr="00B07D79">
        <w:rPr>
          <w:rFonts w:asciiTheme="minorHAnsi" w:hAnsiTheme="minorHAnsi"/>
        </w:rPr>
        <w:t>fyzikálních tabulek</w:t>
      </w:r>
    </w:p>
    <w:p w14:paraId="1D4ED608" w14:textId="07116011"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emise na jednotku energetického obsahu převzaty z</w:t>
      </w:r>
      <w:r w:rsidR="00CF2351" w:rsidRPr="00B07D79">
        <w:rPr>
          <w:rFonts w:asciiTheme="minorHAnsi" w:hAnsiTheme="minorHAnsi"/>
        </w:rPr>
        <w:t> </w:t>
      </w:r>
      <w:r w:rsidRPr="00B07D79">
        <w:rPr>
          <w:rFonts w:asciiTheme="minorHAnsi" w:hAnsiTheme="minorHAnsi"/>
        </w:rPr>
        <w:t>Nařízení vlády č. 189/2018 Sb.</w:t>
      </w:r>
    </w:p>
    <w:p w14:paraId="7475AD25" w14:textId="2E7AC3F8"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s průběžným snižováním emisí benzínových i</w:t>
      </w:r>
      <w:r w:rsidR="00CF2351" w:rsidRPr="00B07D79">
        <w:rPr>
          <w:rFonts w:asciiTheme="minorHAnsi" w:hAnsiTheme="minorHAnsi"/>
        </w:rPr>
        <w:t> </w:t>
      </w:r>
      <w:r w:rsidRPr="00B07D79">
        <w:rPr>
          <w:rFonts w:asciiTheme="minorHAnsi" w:hAnsiTheme="minorHAnsi"/>
        </w:rPr>
        <w:t>LPG motorů závislým na vývoji technologií, stejně jako s</w:t>
      </w:r>
      <w:r w:rsidR="00CF2351" w:rsidRPr="00B07D79">
        <w:rPr>
          <w:rFonts w:asciiTheme="minorHAnsi" w:hAnsiTheme="minorHAnsi"/>
        </w:rPr>
        <w:t> </w:t>
      </w:r>
      <w:r w:rsidRPr="00B07D79">
        <w:rPr>
          <w:rFonts w:asciiTheme="minorHAnsi" w:hAnsiTheme="minorHAnsi"/>
        </w:rPr>
        <w:t>rostoucím vlivem biopříměsí v</w:t>
      </w:r>
      <w:r w:rsidR="00CF2351" w:rsidRPr="00B07D79">
        <w:rPr>
          <w:rFonts w:asciiTheme="minorHAnsi" w:hAnsiTheme="minorHAnsi"/>
        </w:rPr>
        <w:t> </w:t>
      </w:r>
      <w:r w:rsidRPr="00B07D79">
        <w:rPr>
          <w:rFonts w:asciiTheme="minorHAnsi" w:hAnsiTheme="minorHAnsi"/>
        </w:rPr>
        <w:t>benzínu není počítáno</w:t>
      </w:r>
    </w:p>
    <w:p w14:paraId="61806624" w14:textId="4BD30311" w:rsidR="00BF2BD1" w:rsidRPr="00B07D79" w:rsidRDefault="00BF2BD1" w:rsidP="00B07D79">
      <w:pPr>
        <w:spacing w:line="276" w:lineRule="auto"/>
        <w:jc w:val="both"/>
        <w:rPr>
          <w:rFonts w:asciiTheme="minorHAnsi" w:hAnsiTheme="minorHAnsi"/>
        </w:rPr>
      </w:pPr>
      <w:r w:rsidRPr="00B07D79">
        <w:rPr>
          <w:rFonts w:asciiTheme="minorHAnsi" w:hAnsiTheme="minorHAnsi"/>
        </w:rPr>
        <w:t>Kontrolní propočtem s</w:t>
      </w:r>
      <w:r w:rsidR="00CF2351" w:rsidRPr="00B07D79">
        <w:rPr>
          <w:rFonts w:asciiTheme="minorHAnsi" w:hAnsiTheme="minorHAnsi"/>
        </w:rPr>
        <w:t> </w:t>
      </w:r>
      <w:r w:rsidRPr="00B07D79">
        <w:rPr>
          <w:rFonts w:asciiTheme="minorHAnsi" w:hAnsiTheme="minorHAnsi"/>
        </w:rPr>
        <w:t>využitím spotřeby LPG a</w:t>
      </w:r>
      <w:r w:rsidR="00CF2351" w:rsidRPr="00B07D79">
        <w:rPr>
          <w:rFonts w:asciiTheme="minorHAnsi" w:hAnsiTheme="minorHAnsi"/>
        </w:rPr>
        <w:t> </w:t>
      </w:r>
      <w:r w:rsidRPr="00B07D79">
        <w:rPr>
          <w:rFonts w:asciiTheme="minorHAnsi" w:hAnsiTheme="minorHAnsi"/>
        </w:rPr>
        <w:t>emisí CO</w:t>
      </w:r>
      <w:r w:rsidRPr="00B07D79">
        <w:rPr>
          <w:rFonts w:asciiTheme="minorHAnsi" w:hAnsiTheme="minorHAnsi"/>
          <w:vertAlign w:val="subscript"/>
        </w:rPr>
        <w:t>2</w:t>
      </w:r>
      <w:r w:rsidRPr="00B07D79">
        <w:rPr>
          <w:rFonts w:asciiTheme="minorHAnsi" w:hAnsiTheme="minorHAnsi"/>
        </w:rPr>
        <w:t>eq/km z</w:t>
      </w:r>
      <w:r w:rsidR="00CF2351" w:rsidRPr="00B07D79">
        <w:rPr>
          <w:rFonts w:asciiTheme="minorHAnsi" w:hAnsiTheme="minorHAnsi"/>
        </w:rPr>
        <w:t> </w:t>
      </w:r>
      <w:r w:rsidRPr="00B07D79">
        <w:rPr>
          <w:rFonts w:asciiTheme="minorHAnsi" w:hAnsiTheme="minorHAnsi"/>
        </w:rPr>
        <w:t>W-T-W analýzy JRC 2014 vycházejí úspory nižší. To je dáno rozdílným přístupem v</w:t>
      </w:r>
      <w:r w:rsidR="00CF2351" w:rsidRPr="00B07D79">
        <w:rPr>
          <w:rFonts w:asciiTheme="minorHAnsi" w:hAnsiTheme="minorHAnsi"/>
        </w:rPr>
        <w:t> </w:t>
      </w:r>
      <w:r w:rsidRPr="00B07D79">
        <w:rPr>
          <w:rFonts w:asciiTheme="minorHAnsi" w:hAnsiTheme="minorHAnsi"/>
        </w:rPr>
        <w:t>metodice, kdy WTW analýza započítává i</w:t>
      </w:r>
      <w:r w:rsidR="00CF2351" w:rsidRPr="00B07D79">
        <w:rPr>
          <w:rFonts w:asciiTheme="minorHAnsi" w:hAnsiTheme="minorHAnsi"/>
        </w:rPr>
        <w:t> </w:t>
      </w:r>
      <w:r w:rsidRPr="00B07D79">
        <w:rPr>
          <w:rFonts w:asciiTheme="minorHAnsi" w:hAnsiTheme="minorHAnsi"/>
        </w:rPr>
        <w:t>účinnost motoru.</w:t>
      </w:r>
    </w:p>
    <w:p w14:paraId="1B8F891C" w14:textId="67E16408" w:rsidR="00BF2BD1" w:rsidRPr="00B07D79" w:rsidRDefault="00BF2BD1" w:rsidP="00B07D79">
      <w:pPr>
        <w:spacing w:line="276" w:lineRule="auto"/>
        <w:jc w:val="both"/>
        <w:rPr>
          <w:rFonts w:asciiTheme="minorHAnsi" w:hAnsiTheme="minorHAnsi"/>
        </w:rPr>
      </w:pPr>
      <w:r w:rsidRPr="00B07D79">
        <w:rPr>
          <w:rFonts w:asciiTheme="minorHAnsi" w:hAnsiTheme="minorHAnsi"/>
        </w:rPr>
        <w:t>Scénáře „S“ porovnávají stav, kdy je na trhu část vozidel jezdících běžně na benzín nahrazena vozidly s</w:t>
      </w:r>
      <w:r w:rsidR="00CF2351" w:rsidRPr="00B07D79">
        <w:rPr>
          <w:rFonts w:asciiTheme="minorHAnsi" w:hAnsiTheme="minorHAnsi"/>
        </w:rPr>
        <w:t> </w:t>
      </w:r>
      <w:r w:rsidRPr="00B07D79">
        <w:rPr>
          <w:rFonts w:asciiTheme="minorHAnsi" w:hAnsiTheme="minorHAnsi"/>
        </w:rPr>
        <w:t>LPG.  Podle scénáře „FS“ se úspory do roku 2030 prakticky nemění a</w:t>
      </w:r>
      <w:r w:rsidR="00CF2351" w:rsidRPr="00B07D79">
        <w:rPr>
          <w:rFonts w:asciiTheme="minorHAnsi" w:hAnsiTheme="minorHAnsi"/>
        </w:rPr>
        <w:t> </w:t>
      </w:r>
      <w:r w:rsidRPr="00B07D79">
        <w:rPr>
          <w:rFonts w:asciiTheme="minorHAnsi" w:hAnsiTheme="minorHAnsi"/>
        </w:rPr>
        <w:t>zůstávají na</w:t>
      </w:r>
      <w:r w:rsidR="00422864" w:rsidRPr="00B07D79">
        <w:rPr>
          <w:rFonts w:asciiTheme="minorHAnsi" w:hAnsiTheme="minorHAnsi"/>
        </w:rPr>
        <w:t> </w:t>
      </w:r>
      <w:r w:rsidRPr="00B07D79">
        <w:rPr>
          <w:rFonts w:asciiTheme="minorHAnsi" w:hAnsiTheme="minorHAnsi"/>
        </w:rPr>
        <w:t>úrovni 70</w:t>
      </w:r>
      <w:r w:rsidR="00AA36C4" w:rsidRPr="00B07D79">
        <w:rPr>
          <w:rFonts w:asciiTheme="minorHAnsi" w:hAnsiTheme="minorHAnsi"/>
        </w:rPr>
        <w:t xml:space="preserve"> </w:t>
      </w:r>
      <w:r w:rsidRPr="00B07D79">
        <w:rPr>
          <w:rFonts w:asciiTheme="minorHAnsi" w:hAnsiTheme="minorHAnsi"/>
        </w:rPr>
        <w:t>000 tun. Ve scénáři „B“S dochází k</w:t>
      </w:r>
      <w:r w:rsidR="00CF2351" w:rsidRPr="00B07D79">
        <w:rPr>
          <w:rFonts w:asciiTheme="minorHAnsi" w:hAnsiTheme="minorHAnsi"/>
        </w:rPr>
        <w:t> </w:t>
      </w:r>
      <w:r w:rsidRPr="00B07D79">
        <w:rPr>
          <w:rFonts w:asciiTheme="minorHAnsi" w:hAnsiTheme="minorHAnsi"/>
        </w:rPr>
        <w:t>růstu úspor minimálně o</w:t>
      </w:r>
      <w:r w:rsidR="00CF2351" w:rsidRPr="00B07D79">
        <w:rPr>
          <w:rFonts w:asciiTheme="minorHAnsi" w:hAnsiTheme="minorHAnsi"/>
        </w:rPr>
        <w:t> </w:t>
      </w:r>
      <w:r w:rsidRPr="00B07D79">
        <w:rPr>
          <w:rFonts w:asciiTheme="minorHAnsi" w:hAnsiTheme="minorHAnsi"/>
        </w:rPr>
        <w:t>20</w:t>
      </w:r>
      <w:r w:rsidR="008B04ED" w:rsidRPr="00B07D79">
        <w:rPr>
          <w:rFonts w:asciiTheme="minorHAnsi" w:hAnsiTheme="minorHAnsi"/>
        </w:rPr>
        <w:t xml:space="preserve"> </w:t>
      </w:r>
      <w:r w:rsidRPr="00B07D79">
        <w:rPr>
          <w:rFonts w:asciiTheme="minorHAnsi" w:hAnsiTheme="minorHAnsi"/>
        </w:rPr>
        <w:t>000 tun (reálné úspory závisí na technologii využité k</w:t>
      </w:r>
      <w:r w:rsidR="00CF2351" w:rsidRPr="00B07D79">
        <w:rPr>
          <w:rFonts w:asciiTheme="minorHAnsi" w:hAnsiTheme="minorHAnsi"/>
        </w:rPr>
        <w:t> </w:t>
      </w:r>
      <w:r w:rsidRPr="00B07D79">
        <w:rPr>
          <w:rFonts w:asciiTheme="minorHAnsi" w:hAnsiTheme="minorHAnsi"/>
        </w:rPr>
        <w:t>výrobě</w:t>
      </w:r>
      <w:r w:rsidR="00422864" w:rsidRPr="00B07D79">
        <w:rPr>
          <w:rFonts w:asciiTheme="minorHAnsi" w:hAnsiTheme="minorHAnsi"/>
        </w:rPr>
        <w:t>.</w:t>
      </w:r>
    </w:p>
    <w:p w14:paraId="6C8BC8C4" w14:textId="633E503F" w:rsidR="00BF2BD1" w:rsidRPr="00B07D79" w:rsidRDefault="00BF2BD1" w:rsidP="00B07D79">
      <w:pPr>
        <w:spacing w:line="276" w:lineRule="auto"/>
        <w:jc w:val="both"/>
        <w:rPr>
          <w:rFonts w:asciiTheme="minorHAnsi" w:hAnsiTheme="minorHAnsi"/>
        </w:rPr>
      </w:pPr>
      <w:r w:rsidRPr="00B07D79">
        <w:rPr>
          <w:rFonts w:asciiTheme="minorHAnsi" w:hAnsiTheme="minorHAnsi"/>
        </w:rPr>
        <w:t>Scénáře „R“ porovnávají stav růstový, pro výpočet úspory se používá rozdíl mezi emisemi rostoucího počtu benzínových a</w:t>
      </w:r>
      <w:r w:rsidR="00CF2351" w:rsidRPr="00B07D79">
        <w:rPr>
          <w:rFonts w:asciiTheme="minorHAnsi" w:hAnsiTheme="minorHAnsi"/>
        </w:rPr>
        <w:t> </w:t>
      </w:r>
      <w:r w:rsidRPr="00B07D79">
        <w:rPr>
          <w:rFonts w:asciiTheme="minorHAnsi" w:hAnsiTheme="minorHAnsi"/>
        </w:rPr>
        <w:t>LPG vozů. Scénář „FR“ má z</w:t>
      </w:r>
      <w:r w:rsidR="00CF2351" w:rsidRPr="00B07D79">
        <w:rPr>
          <w:rFonts w:asciiTheme="minorHAnsi" w:hAnsiTheme="minorHAnsi"/>
        </w:rPr>
        <w:t> </w:t>
      </w:r>
      <w:r w:rsidRPr="00B07D79">
        <w:rPr>
          <w:rFonts w:asciiTheme="minorHAnsi" w:hAnsiTheme="minorHAnsi"/>
        </w:rPr>
        <w:t>pohledu úspor v</w:t>
      </w:r>
      <w:r w:rsidR="00CF2351" w:rsidRPr="00B07D79">
        <w:rPr>
          <w:rFonts w:asciiTheme="minorHAnsi" w:hAnsiTheme="minorHAnsi"/>
        </w:rPr>
        <w:t> </w:t>
      </w:r>
      <w:r w:rsidRPr="00B07D79">
        <w:rPr>
          <w:rFonts w:asciiTheme="minorHAnsi" w:hAnsiTheme="minorHAnsi"/>
        </w:rPr>
        <w:t>podstatě obdobný průběh, jako scénář „BS“. Neboli při stagnaci počtu vozidel a</w:t>
      </w:r>
      <w:r w:rsidR="00CF2351" w:rsidRPr="00B07D79">
        <w:rPr>
          <w:rFonts w:asciiTheme="minorHAnsi" w:hAnsiTheme="minorHAnsi"/>
        </w:rPr>
        <w:t> </w:t>
      </w:r>
      <w:r w:rsidRPr="00B07D79">
        <w:rPr>
          <w:rFonts w:asciiTheme="minorHAnsi" w:hAnsiTheme="minorHAnsi"/>
        </w:rPr>
        <w:t>významném růstu bioLPG dosáhneme obdobných úspor jako v</w:t>
      </w:r>
      <w:r w:rsidR="00CF2351" w:rsidRPr="00B07D79">
        <w:rPr>
          <w:rFonts w:asciiTheme="minorHAnsi" w:hAnsiTheme="minorHAnsi"/>
        </w:rPr>
        <w:t> </w:t>
      </w:r>
      <w:r w:rsidRPr="00B07D79">
        <w:rPr>
          <w:rFonts w:asciiTheme="minorHAnsi" w:hAnsiTheme="minorHAnsi"/>
        </w:rPr>
        <w:t>případě růstu vozidel a</w:t>
      </w:r>
      <w:r w:rsidR="00CF2351" w:rsidRPr="00B07D79">
        <w:rPr>
          <w:rFonts w:asciiTheme="minorHAnsi" w:hAnsiTheme="minorHAnsi"/>
        </w:rPr>
        <w:t> </w:t>
      </w:r>
      <w:r w:rsidRPr="00B07D79">
        <w:rPr>
          <w:rFonts w:asciiTheme="minorHAnsi" w:hAnsiTheme="minorHAnsi"/>
        </w:rPr>
        <w:t>omezeném využití bioLPG. Nejlepší výsledky samozřejmě přináší scénář „BR“, který úspory více než</w:t>
      </w:r>
      <w:r w:rsidR="00422864" w:rsidRPr="00B07D79">
        <w:rPr>
          <w:rFonts w:asciiTheme="minorHAnsi" w:hAnsiTheme="minorHAnsi"/>
        </w:rPr>
        <w:t> </w:t>
      </w:r>
      <w:r w:rsidRPr="00B07D79">
        <w:rPr>
          <w:rFonts w:asciiTheme="minorHAnsi" w:hAnsiTheme="minorHAnsi"/>
        </w:rPr>
        <w:t>zdvojnásobuje</w:t>
      </w:r>
      <w:r w:rsidR="00422864" w:rsidRPr="00B07D79">
        <w:rPr>
          <w:rFonts w:asciiTheme="minorHAnsi" w:hAnsiTheme="minorHAnsi"/>
        </w:rPr>
        <w:t>.</w:t>
      </w:r>
    </w:p>
    <w:p w14:paraId="0EDA405D" w14:textId="77777777" w:rsidR="009D0E24" w:rsidRDefault="00BF2BD1" w:rsidP="009D0E24">
      <w:pPr>
        <w:spacing w:line="276" w:lineRule="auto"/>
        <w:jc w:val="both"/>
        <w:rPr>
          <w:rFonts w:asciiTheme="minorHAnsi" w:hAnsiTheme="minorHAnsi"/>
        </w:rPr>
      </w:pPr>
      <w:r w:rsidRPr="00B07D79">
        <w:rPr>
          <w:rFonts w:asciiTheme="minorHAnsi" w:hAnsiTheme="minorHAnsi"/>
        </w:rPr>
        <w:t>Scénář „P“ porovnává emise 170</w:t>
      </w:r>
      <w:r w:rsidR="00AA36C4" w:rsidRPr="00B07D79">
        <w:rPr>
          <w:rFonts w:asciiTheme="minorHAnsi" w:hAnsiTheme="minorHAnsi"/>
        </w:rPr>
        <w:t xml:space="preserve"> </w:t>
      </w:r>
      <w:r w:rsidRPr="00B07D79">
        <w:rPr>
          <w:rFonts w:asciiTheme="minorHAnsi" w:hAnsiTheme="minorHAnsi"/>
        </w:rPr>
        <w:t>000 vozidel, z</w:t>
      </w:r>
      <w:r w:rsidR="00CF2351" w:rsidRPr="00B07D79">
        <w:rPr>
          <w:rFonts w:asciiTheme="minorHAnsi" w:hAnsiTheme="minorHAnsi"/>
        </w:rPr>
        <w:t> </w:t>
      </w:r>
      <w:r w:rsidRPr="00B07D79">
        <w:rPr>
          <w:rFonts w:asciiTheme="minorHAnsi" w:hAnsiTheme="minorHAnsi"/>
        </w:rPr>
        <w:t>nichž klesající část LPG je postupně nahrazována benzínem. V</w:t>
      </w:r>
      <w:r w:rsidR="00CF2351" w:rsidRPr="00B07D79">
        <w:rPr>
          <w:rFonts w:asciiTheme="minorHAnsi" w:hAnsiTheme="minorHAnsi"/>
        </w:rPr>
        <w:t> </w:t>
      </w:r>
      <w:r w:rsidRPr="00B07D79">
        <w:rPr>
          <w:rFonts w:asciiTheme="minorHAnsi" w:hAnsiTheme="minorHAnsi"/>
        </w:rPr>
        <w:t>tomto případě dochází k</w:t>
      </w:r>
      <w:r w:rsidR="00CF2351" w:rsidRPr="00B07D79">
        <w:rPr>
          <w:rFonts w:asciiTheme="minorHAnsi" w:hAnsiTheme="minorHAnsi"/>
        </w:rPr>
        <w:t> </w:t>
      </w:r>
      <w:r w:rsidRPr="00B07D79">
        <w:rPr>
          <w:rFonts w:asciiTheme="minorHAnsi" w:hAnsiTheme="minorHAnsi"/>
        </w:rPr>
        <w:t xml:space="preserve">poklesu úspor hluboce pod polovinu dnešní hodnoty. </w:t>
      </w:r>
    </w:p>
    <w:p w14:paraId="66E65F41" w14:textId="4B156541" w:rsidR="00BF2BD1" w:rsidRPr="009D0E24" w:rsidRDefault="00BF2BD1" w:rsidP="009D0E24">
      <w:pPr>
        <w:spacing w:line="276" w:lineRule="auto"/>
        <w:jc w:val="both"/>
        <w:rPr>
          <w:rFonts w:asciiTheme="minorHAnsi" w:hAnsiTheme="minorHAnsi"/>
        </w:rPr>
      </w:pPr>
      <w:r w:rsidRPr="00516C35">
        <w:rPr>
          <w:rFonts w:asciiTheme="minorHAnsi" w:hAnsiTheme="minorHAnsi"/>
          <w:color w:val="385623" w:themeColor="accent6" w:themeShade="80"/>
        </w:rPr>
        <w:t xml:space="preserve">Obrázek </w:t>
      </w:r>
      <w:r w:rsidR="007D4BC4" w:rsidRPr="00516C35">
        <w:rPr>
          <w:rFonts w:asciiTheme="minorHAnsi" w:hAnsiTheme="minorHAnsi"/>
          <w:color w:val="385623" w:themeColor="accent6" w:themeShade="80"/>
        </w:rPr>
        <w:t xml:space="preserve">38 </w:t>
      </w:r>
      <w:r w:rsidRPr="00516C35">
        <w:rPr>
          <w:rFonts w:asciiTheme="minorHAnsi" w:hAnsiTheme="minorHAnsi"/>
          <w:color w:val="385623" w:themeColor="accent6" w:themeShade="80"/>
        </w:rPr>
        <w:t>Úspory emisí v</w:t>
      </w:r>
      <w:r w:rsidR="00CF2351" w:rsidRPr="00516C35">
        <w:rPr>
          <w:rFonts w:asciiTheme="minorHAnsi" w:hAnsiTheme="minorHAnsi"/>
          <w:color w:val="385623" w:themeColor="accent6" w:themeShade="80"/>
        </w:rPr>
        <w:t> </w:t>
      </w:r>
      <w:r w:rsidRPr="00516C35">
        <w:rPr>
          <w:rFonts w:asciiTheme="minorHAnsi" w:hAnsiTheme="minorHAnsi"/>
          <w:color w:val="385623" w:themeColor="accent6" w:themeShade="80"/>
        </w:rPr>
        <w:t>jednotlivých scénářích</w:t>
      </w:r>
    </w:p>
    <w:p w14:paraId="74EF4D53" w14:textId="77777777" w:rsidR="00BF2BD1" w:rsidRPr="00B07D79" w:rsidRDefault="008D3A19" w:rsidP="00B07D79">
      <w:pPr>
        <w:spacing w:line="276" w:lineRule="auto"/>
        <w:jc w:val="both"/>
        <w:rPr>
          <w:rFonts w:asciiTheme="minorHAnsi" w:hAnsiTheme="minorHAnsi"/>
          <w:i/>
          <w:sz w:val="28"/>
          <w:szCs w:val="28"/>
        </w:rPr>
      </w:pPr>
      <w:r w:rsidRPr="00B07D79">
        <w:rPr>
          <w:rFonts w:asciiTheme="minorHAnsi" w:hAnsiTheme="minorHAnsi"/>
          <w:noProof/>
        </w:rPr>
        <w:drawing>
          <wp:inline distT="0" distB="0" distL="0" distR="0" wp14:anchorId="1B765FB1" wp14:editId="2741CA91">
            <wp:extent cx="5760720" cy="3194685"/>
            <wp:effectExtent l="0" t="0" r="11430" b="5715"/>
            <wp:docPr id="1246362949" name="Graf 1246362949">
              <a:extLst xmlns:a="http://schemas.openxmlformats.org/drawingml/2006/main">
                <a:ext uri="{FF2B5EF4-FFF2-40B4-BE49-F238E27FC236}">
                  <a16:creationId xmlns:a16="http://schemas.microsoft.com/office/drawing/2014/main" id="{306DF470-75D0-1A48-8657-717B2C35A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0559C90" w14:textId="2F812B74" w:rsidR="00BF2BD1" w:rsidRPr="00516C35" w:rsidRDefault="00BF2BD1" w:rsidP="00B07D79">
      <w:pPr>
        <w:spacing w:line="276" w:lineRule="auto"/>
        <w:jc w:val="both"/>
        <w:rPr>
          <w:rFonts w:asciiTheme="minorHAnsi" w:hAnsiTheme="minorHAnsi"/>
          <w:iCs/>
          <w:color w:val="385623" w:themeColor="accent6" w:themeShade="80"/>
          <w:sz w:val="24"/>
        </w:rPr>
      </w:pPr>
      <w:r w:rsidRPr="00516C35">
        <w:rPr>
          <w:rFonts w:asciiTheme="minorHAnsi" w:hAnsiTheme="minorHAnsi"/>
          <w:iCs/>
          <w:color w:val="385623" w:themeColor="accent6" w:themeShade="80"/>
          <w:sz w:val="24"/>
        </w:rPr>
        <w:lastRenderedPageBreak/>
        <w:t>Popis bariér a</w:t>
      </w:r>
      <w:r w:rsidR="00CF2351" w:rsidRPr="00516C35">
        <w:rPr>
          <w:rFonts w:asciiTheme="minorHAnsi" w:hAnsiTheme="minorHAnsi"/>
          <w:iCs/>
          <w:color w:val="385623" w:themeColor="accent6" w:themeShade="80"/>
          <w:sz w:val="24"/>
        </w:rPr>
        <w:t> </w:t>
      </w:r>
      <w:r w:rsidRPr="00516C35">
        <w:rPr>
          <w:rFonts w:asciiTheme="minorHAnsi" w:hAnsiTheme="minorHAnsi"/>
          <w:iCs/>
          <w:color w:val="385623" w:themeColor="accent6" w:themeShade="80"/>
          <w:sz w:val="24"/>
        </w:rPr>
        <w:t>omezujících faktorů, které brání naplnění predikce</w:t>
      </w:r>
    </w:p>
    <w:p w14:paraId="3F63E913" w14:textId="0944D116" w:rsidR="00BF2BD1" w:rsidRPr="00B07D79" w:rsidRDefault="00BF2BD1" w:rsidP="00B07D79">
      <w:pPr>
        <w:spacing w:line="276" w:lineRule="auto"/>
        <w:jc w:val="both"/>
        <w:rPr>
          <w:rFonts w:asciiTheme="minorHAnsi" w:hAnsiTheme="minorHAnsi"/>
        </w:rPr>
      </w:pPr>
      <w:r w:rsidRPr="00B07D79">
        <w:rPr>
          <w:rFonts w:asciiTheme="minorHAnsi" w:hAnsiTheme="minorHAnsi"/>
        </w:rPr>
        <w:t>Slabá, dokonce spíše negativní motivace automobilek vyrábět vozy s</w:t>
      </w:r>
      <w:r w:rsidR="00CF2351" w:rsidRPr="00B07D79">
        <w:rPr>
          <w:rFonts w:asciiTheme="minorHAnsi" w:hAnsiTheme="minorHAnsi"/>
        </w:rPr>
        <w:t> </w:t>
      </w:r>
      <w:r w:rsidRPr="00B07D79">
        <w:rPr>
          <w:rFonts w:asciiTheme="minorHAnsi" w:hAnsiTheme="minorHAnsi"/>
        </w:rPr>
        <w:t>LPG pohonem. Situace se mlže zlepšit po změně metodiky počítající emise z</w:t>
      </w:r>
      <w:r w:rsidR="00CF2351" w:rsidRPr="00B07D79">
        <w:rPr>
          <w:rFonts w:asciiTheme="minorHAnsi" w:hAnsiTheme="minorHAnsi"/>
        </w:rPr>
        <w:t> </w:t>
      </w:r>
      <w:r w:rsidRPr="00B07D79">
        <w:rPr>
          <w:rFonts w:asciiTheme="minorHAnsi" w:hAnsiTheme="minorHAnsi"/>
        </w:rPr>
        <w:t>nově prodávaných vozů z</w:t>
      </w:r>
      <w:r w:rsidR="00CF2351" w:rsidRPr="00B07D79">
        <w:rPr>
          <w:rFonts w:asciiTheme="minorHAnsi" w:hAnsiTheme="minorHAnsi"/>
        </w:rPr>
        <w:t> </w:t>
      </w:r>
      <w:r w:rsidRPr="00B07D79">
        <w:rPr>
          <w:rFonts w:asciiTheme="minorHAnsi" w:hAnsiTheme="minorHAnsi"/>
        </w:rPr>
        <w:t>„</w:t>
      </w:r>
      <w:r w:rsidRPr="00B07D79">
        <w:rPr>
          <w:rFonts w:asciiTheme="minorHAnsi" w:hAnsiTheme="minorHAnsi"/>
          <w:lang w:val="en-GB"/>
        </w:rPr>
        <w:t>tailpipe“</w:t>
      </w:r>
      <w:r w:rsidRPr="00B07D79">
        <w:rPr>
          <w:rFonts w:asciiTheme="minorHAnsi" w:hAnsiTheme="minorHAnsi"/>
        </w:rPr>
        <w:t xml:space="preserve"> na</w:t>
      </w:r>
      <w:r w:rsidR="00422864" w:rsidRPr="00B07D79">
        <w:rPr>
          <w:rFonts w:asciiTheme="minorHAnsi" w:hAnsiTheme="minorHAnsi"/>
        </w:rPr>
        <w:t> </w:t>
      </w:r>
      <w:r w:rsidRPr="00B07D79">
        <w:rPr>
          <w:rFonts w:asciiTheme="minorHAnsi" w:hAnsiTheme="minorHAnsi"/>
        </w:rPr>
        <w:t>„</w:t>
      </w:r>
      <w:r w:rsidRPr="00B07D79">
        <w:rPr>
          <w:rFonts w:asciiTheme="minorHAnsi" w:hAnsiTheme="minorHAnsi"/>
          <w:lang w:val="en-GB"/>
        </w:rPr>
        <w:t>Well-to-wheel</w:t>
      </w:r>
      <w:r w:rsidRPr="00B07D79">
        <w:rPr>
          <w:rFonts w:asciiTheme="minorHAnsi" w:hAnsiTheme="minorHAnsi"/>
        </w:rPr>
        <w:t xml:space="preserve">“ po roce 2023. </w:t>
      </w:r>
      <w:r w:rsidR="00AA36C4" w:rsidRPr="00B07D79">
        <w:rPr>
          <w:rFonts w:asciiTheme="minorHAnsi" w:hAnsiTheme="minorHAnsi"/>
        </w:rPr>
        <w:t>ČR</w:t>
      </w:r>
      <w:r w:rsidRPr="00B07D79">
        <w:rPr>
          <w:rFonts w:asciiTheme="minorHAnsi" w:hAnsiTheme="minorHAnsi"/>
        </w:rPr>
        <w:t xml:space="preserve"> není schopna tuto situaci aktuálně jakkoli ovlivnit, dojde-li k</w:t>
      </w:r>
      <w:r w:rsidR="00CF2351" w:rsidRPr="00B07D79">
        <w:rPr>
          <w:rFonts w:asciiTheme="minorHAnsi" w:hAnsiTheme="minorHAnsi"/>
        </w:rPr>
        <w:t> </w:t>
      </w:r>
      <w:r w:rsidRPr="00B07D79">
        <w:rPr>
          <w:rFonts w:asciiTheme="minorHAnsi" w:hAnsiTheme="minorHAnsi"/>
        </w:rPr>
        <w:t>jednáním na úrovni EU, měla by změnu metodiky podpořit.</w:t>
      </w:r>
    </w:p>
    <w:p w14:paraId="76F1508C" w14:textId="55BEC00B" w:rsidR="00BF2BD1" w:rsidRPr="00B07D79" w:rsidRDefault="00BF2BD1" w:rsidP="00B07D79">
      <w:pPr>
        <w:spacing w:line="276" w:lineRule="auto"/>
        <w:jc w:val="both"/>
        <w:rPr>
          <w:rFonts w:asciiTheme="minorHAnsi" w:hAnsiTheme="minorHAnsi"/>
        </w:rPr>
      </w:pPr>
      <w:r w:rsidRPr="00B07D79">
        <w:rPr>
          <w:rFonts w:asciiTheme="minorHAnsi" w:hAnsiTheme="minorHAnsi"/>
        </w:rPr>
        <w:t>LPG má naštěstí výhodu v</w:t>
      </w:r>
      <w:r w:rsidR="00CF2351" w:rsidRPr="00B07D79">
        <w:rPr>
          <w:rFonts w:asciiTheme="minorHAnsi" w:hAnsiTheme="minorHAnsi"/>
        </w:rPr>
        <w:t> </w:t>
      </w:r>
      <w:r w:rsidRPr="00B07D79">
        <w:rPr>
          <w:rFonts w:asciiTheme="minorHAnsi" w:hAnsiTheme="minorHAnsi"/>
        </w:rPr>
        <w:t>tom, že se na trh dostávají vozy v</w:t>
      </w:r>
      <w:r w:rsidR="00CF2351" w:rsidRPr="00B07D79">
        <w:rPr>
          <w:rFonts w:asciiTheme="minorHAnsi" w:hAnsiTheme="minorHAnsi"/>
        </w:rPr>
        <w:t> </w:t>
      </w:r>
      <w:r w:rsidRPr="00B07D79">
        <w:rPr>
          <w:rFonts w:asciiTheme="minorHAnsi" w:hAnsiTheme="minorHAnsi"/>
        </w:rPr>
        <w:t>podobě přestaveb starších benzínových vozidel.</w:t>
      </w:r>
    </w:p>
    <w:p w14:paraId="22ABF21D" w14:textId="0405ECFF" w:rsidR="00BF2BD1" w:rsidRPr="00B07D79" w:rsidRDefault="00BF2BD1" w:rsidP="00B07D79">
      <w:pPr>
        <w:spacing w:line="276" w:lineRule="auto"/>
        <w:jc w:val="both"/>
        <w:rPr>
          <w:rFonts w:asciiTheme="minorHAnsi" w:hAnsiTheme="minorHAnsi"/>
        </w:rPr>
      </w:pPr>
      <w:r w:rsidRPr="00B07D79">
        <w:rPr>
          <w:rFonts w:asciiTheme="minorHAnsi" w:hAnsiTheme="minorHAnsi"/>
        </w:rPr>
        <w:t>Infrastruktura je v</w:t>
      </w:r>
      <w:r w:rsidR="00CF2351" w:rsidRPr="00B07D79">
        <w:rPr>
          <w:rFonts w:asciiTheme="minorHAnsi" w:hAnsiTheme="minorHAnsi"/>
        </w:rPr>
        <w:t> </w:t>
      </w:r>
      <w:r w:rsidR="00AA36C4" w:rsidRPr="00B07D79">
        <w:rPr>
          <w:rFonts w:asciiTheme="minorHAnsi" w:hAnsiTheme="minorHAnsi"/>
        </w:rPr>
        <w:t>ČR</w:t>
      </w:r>
      <w:r w:rsidRPr="00B07D79">
        <w:rPr>
          <w:rFonts w:asciiTheme="minorHAnsi" w:hAnsiTheme="minorHAnsi"/>
        </w:rPr>
        <w:t xml:space="preserve"> i</w:t>
      </w:r>
      <w:r w:rsidR="00CF2351" w:rsidRPr="00B07D79">
        <w:rPr>
          <w:rFonts w:asciiTheme="minorHAnsi" w:hAnsiTheme="minorHAnsi"/>
        </w:rPr>
        <w:t> </w:t>
      </w:r>
      <w:r w:rsidRPr="00B07D79">
        <w:rPr>
          <w:rFonts w:asciiTheme="minorHAnsi" w:hAnsiTheme="minorHAnsi"/>
        </w:rPr>
        <w:t>díky sazbě spotřební daně rozhodně dostačující. Hustá síť čerpacích stanic kapacitně není plně využitá, takže i</w:t>
      </w:r>
      <w:r w:rsidR="00CF2351" w:rsidRPr="00B07D79">
        <w:rPr>
          <w:rFonts w:asciiTheme="minorHAnsi" w:hAnsiTheme="minorHAnsi"/>
        </w:rPr>
        <w:t> </w:t>
      </w:r>
      <w:r w:rsidRPr="00B07D79">
        <w:rPr>
          <w:rFonts w:asciiTheme="minorHAnsi" w:hAnsiTheme="minorHAnsi"/>
        </w:rPr>
        <w:t>při nárůstu vozidel na LPG nebude v</w:t>
      </w:r>
      <w:r w:rsidR="00CF2351" w:rsidRPr="00B07D79">
        <w:rPr>
          <w:rFonts w:asciiTheme="minorHAnsi" w:hAnsiTheme="minorHAnsi"/>
        </w:rPr>
        <w:t> </w:t>
      </w:r>
      <w:r w:rsidRPr="00B07D79">
        <w:rPr>
          <w:rFonts w:asciiTheme="minorHAnsi" w:hAnsiTheme="minorHAnsi"/>
        </w:rPr>
        <w:t>tomto ohledu problém bez nutnosti dalších investic.</w:t>
      </w:r>
    </w:p>
    <w:p w14:paraId="397401B3" w14:textId="0BADDB9E" w:rsidR="00BF2BD1" w:rsidRPr="00B07D79" w:rsidRDefault="00BF2BD1" w:rsidP="00B07D79">
      <w:pPr>
        <w:spacing w:line="276" w:lineRule="auto"/>
        <w:jc w:val="both"/>
        <w:rPr>
          <w:rFonts w:asciiTheme="minorHAnsi" w:hAnsiTheme="minorHAnsi"/>
        </w:rPr>
      </w:pPr>
      <w:r w:rsidRPr="00B07D79">
        <w:rPr>
          <w:rFonts w:asciiTheme="minorHAnsi" w:hAnsiTheme="minorHAnsi"/>
        </w:rPr>
        <w:t>Omezená možnost parkování v</w:t>
      </w:r>
      <w:r w:rsidR="00CF2351" w:rsidRPr="00B07D79">
        <w:rPr>
          <w:rFonts w:asciiTheme="minorHAnsi" w:hAnsiTheme="minorHAnsi"/>
        </w:rPr>
        <w:t> </w:t>
      </w:r>
      <w:r w:rsidRPr="00B07D79">
        <w:rPr>
          <w:rFonts w:asciiTheme="minorHAnsi" w:hAnsiTheme="minorHAnsi"/>
        </w:rPr>
        <w:t>garážích rozhodně silně omezuje využití vozidel na LPG zejména ve větších městech. Zrovna tam by však měl být co největší zájem na snížení lokálních emisí i</w:t>
      </w:r>
      <w:r w:rsidR="00CF2351" w:rsidRPr="00B07D79">
        <w:rPr>
          <w:rFonts w:asciiTheme="minorHAnsi" w:hAnsiTheme="minorHAnsi"/>
        </w:rPr>
        <w:t> </w:t>
      </w:r>
      <w:r w:rsidRPr="00B07D79">
        <w:rPr>
          <w:rFonts w:asciiTheme="minorHAnsi" w:hAnsiTheme="minorHAnsi"/>
        </w:rPr>
        <w:t>díky využívání vozidel na LPG. Tento problém se podařilo v</w:t>
      </w:r>
      <w:r w:rsidR="00CF2351" w:rsidRPr="00B07D79">
        <w:rPr>
          <w:rFonts w:asciiTheme="minorHAnsi" w:hAnsiTheme="minorHAnsi"/>
        </w:rPr>
        <w:t> </w:t>
      </w:r>
      <w:r w:rsidRPr="00B07D79">
        <w:rPr>
          <w:rFonts w:asciiTheme="minorHAnsi" w:hAnsiTheme="minorHAnsi"/>
        </w:rPr>
        <w:t>řadě evropských zemí uspokojivě vyřešit. Klíčem je vybavení garáží čidly a</w:t>
      </w:r>
      <w:r w:rsidR="00CF2351" w:rsidRPr="00B07D79">
        <w:rPr>
          <w:rFonts w:asciiTheme="minorHAnsi" w:hAnsiTheme="minorHAnsi"/>
        </w:rPr>
        <w:t> </w:t>
      </w:r>
      <w:r w:rsidRPr="00B07D79">
        <w:rPr>
          <w:rFonts w:asciiTheme="minorHAnsi" w:hAnsiTheme="minorHAnsi"/>
        </w:rPr>
        <w:t>adekvátní ventilací. Tuto bariéru se</w:t>
      </w:r>
      <w:r w:rsidR="00422864" w:rsidRPr="00B07D79">
        <w:rPr>
          <w:rFonts w:asciiTheme="minorHAnsi" w:hAnsiTheme="minorHAnsi"/>
        </w:rPr>
        <w:t> </w:t>
      </w:r>
      <w:r w:rsidRPr="00B07D79">
        <w:rPr>
          <w:rFonts w:asciiTheme="minorHAnsi" w:hAnsiTheme="minorHAnsi"/>
        </w:rPr>
        <w:t xml:space="preserve">snažil již </w:t>
      </w:r>
      <w:r w:rsidR="008D3A19" w:rsidRPr="00B07D79">
        <w:rPr>
          <w:rFonts w:asciiTheme="minorHAnsi" w:hAnsiTheme="minorHAnsi"/>
        </w:rPr>
        <w:t>NAP</w:t>
      </w:r>
      <w:r w:rsidR="00480164" w:rsidRPr="00B07D79">
        <w:rPr>
          <w:rFonts w:asciiTheme="minorHAnsi" w:hAnsiTheme="minorHAnsi"/>
        </w:rPr>
        <w:t xml:space="preserve"> </w:t>
      </w:r>
      <w:r w:rsidR="008D3A19" w:rsidRPr="00B07D79">
        <w:rPr>
          <w:rFonts w:asciiTheme="minorHAnsi" w:hAnsiTheme="minorHAnsi"/>
        </w:rPr>
        <w:t>CM</w:t>
      </w:r>
      <w:r w:rsidRPr="00B07D79">
        <w:rPr>
          <w:rFonts w:asciiTheme="minorHAnsi" w:hAnsiTheme="minorHAnsi"/>
        </w:rPr>
        <w:t xml:space="preserve"> v2 z</w:t>
      </w:r>
      <w:r w:rsidR="00CF2351" w:rsidRPr="00B07D79">
        <w:rPr>
          <w:rFonts w:asciiTheme="minorHAnsi" w:hAnsiTheme="minorHAnsi"/>
        </w:rPr>
        <w:t> </w:t>
      </w:r>
      <w:r w:rsidRPr="00B07D79">
        <w:rPr>
          <w:rFonts w:asciiTheme="minorHAnsi" w:hAnsiTheme="minorHAnsi"/>
        </w:rPr>
        <w:t>roku 2020 překonat návrhem karety opatření, zavazující nové investory budovat v</w:t>
      </w:r>
      <w:r w:rsidR="00CF2351" w:rsidRPr="00B07D79">
        <w:rPr>
          <w:rFonts w:asciiTheme="minorHAnsi" w:hAnsiTheme="minorHAnsi"/>
        </w:rPr>
        <w:t> </w:t>
      </w:r>
      <w:r w:rsidRPr="00B07D79">
        <w:rPr>
          <w:rFonts w:asciiTheme="minorHAnsi" w:hAnsiTheme="minorHAnsi"/>
        </w:rPr>
        <w:t xml:space="preserve">podzemních garážích prostor pro parkování všech typů alternativních pohonů. Státní správa ale tuto kartu nakonec odmítla naplnit. </w:t>
      </w:r>
    </w:p>
    <w:p w14:paraId="32720E97" w14:textId="4A1CE74E" w:rsidR="00BF2BD1" w:rsidRPr="00B07D79" w:rsidRDefault="00BF2BD1" w:rsidP="00B07D79">
      <w:pPr>
        <w:spacing w:line="276" w:lineRule="auto"/>
        <w:jc w:val="both"/>
        <w:rPr>
          <w:rFonts w:asciiTheme="minorHAnsi" w:hAnsiTheme="minorHAnsi"/>
        </w:rPr>
      </w:pPr>
      <w:r w:rsidRPr="00B07D79">
        <w:rPr>
          <w:rFonts w:asciiTheme="minorHAnsi" w:hAnsiTheme="minorHAnsi"/>
        </w:rPr>
        <w:t>Samoobslužné tankování bylo bariérou většího využití a</w:t>
      </w:r>
      <w:r w:rsidR="00CF2351" w:rsidRPr="00B07D79">
        <w:rPr>
          <w:rFonts w:asciiTheme="minorHAnsi" w:hAnsiTheme="minorHAnsi"/>
        </w:rPr>
        <w:t> </w:t>
      </w:r>
      <w:r w:rsidRPr="00B07D79">
        <w:rPr>
          <w:rFonts w:asciiTheme="minorHAnsi" w:hAnsiTheme="minorHAnsi"/>
        </w:rPr>
        <w:t>zvýšení komfortu zákazníka, ale</w:t>
      </w:r>
      <w:r w:rsidR="00422864" w:rsidRPr="00B07D79">
        <w:rPr>
          <w:rFonts w:asciiTheme="minorHAnsi" w:hAnsiTheme="minorHAnsi"/>
        </w:rPr>
        <w:t> </w:t>
      </w:r>
      <w:r w:rsidRPr="00B07D79">
        <w:rPr>
          <w:rFonts w:asciiTheme="minorHAnsi" w:hAnsiTheme="minorHAnsi"/>
        </w:rPr>
        <w:t>je</w:t>
      </w:r>
      <w:r w:rsidR="00422864" w:rsidRPr="00B07D79">
        <w:rPr>
          <w:rFonts w:asciiTheme="minorHAnsi" w:hAnsiTheme="minorHAnsi"/>
        </w:rPr>
        <w:t> </w:t>
      </w:r>
      <w:r w:rsidRPr="00B07D79">
        <w:rPr>
          <w:rFonts w:asciiTheme="minorHAnsi" w:hAnsiTheme="minorHAnsi"/>
        </w:rPr>
        <w:t>již</w:t>
      </w:r>
      <w:r w:rsidR="00422864" w:rsidRPr="00B07D79">
        <w:rPr>
          <w:rFonts w:asciiTheme="minorHAnsi" w:hAnsiTheme="minorHAnsi"/>
        </w:rPr>
        <w:t> </w:t>
      </w:r>
      <w:r w:rsidRPr="00B07D79">
        <w:rPr>
          <w:rFonts w:asciiTheme="minorHAnsi" w:hAnsiTheme="minorHAnsi"/>
        </w:rPr>
        <w:t>minulostí. Od roku 2023 je možné, aby si zákazník tankoval LPG sám.</w:t>
      </w:r>
    </w:p>
    <w:p w14:paraId="5CA6732C" w14:textId="763AA216" w:rsidR="00BF2BD1" w:rsidRPr="00B07D79" w:rsidRDefault="00BF2BD1" w:rsidP="00B07D79">
      <w:pPr>
        <w:spacing w:line="276" w:lineRule="auto"/>
        <w:jc w:val="both"/>
        <w:rPr>
          <w:rFonts w:asciiTheme="minorHAnsi" w:hAnsiTheme="minorHAnsi"/>
        </w:rPr>
      </w:pPr>
      <w:r w:rsidRPr="00B07D79">
        <w:rPr>
          <w:rFonts w:asciiTheme="minorHAnsi" w:hAnsiTheme="minorHAnsi"/>
        </w:rPr>
        <w:t>Velkým omezením ve výběru vozů na LPG byla nedostupnost přestavbových sad pro</w:t>
      </w:r>
      <w:r w:rsidR="00422864" w:rsidRPr="00B07D79">
        <w:rPr>
          <w:rFonts w:asciiTheme="minorHAnsi" w:hAnsiTheme="minorHAnsi"/>
        </w:rPr>
        <w:t> </w:t>
      </w:r>
      <w:r w:rsidRPr="00B07D79">
        <w:rPr>
          <w:rFonts w:asciiTheme="minorHAnsi" w:hAnsiTheme="minorHAnsi"/>
        </w:rPr>
        <w:t>přímovstřikové motory. Nyní je již tento technický problém překonán a</w:t>
      </w:r>
      <w:r w:rsidR="00CF2351" w:rsidRPr="00B07D79">
        <w:rPr>
          <w:rFonts w:asciiTheme="minorHAnsi" w:hAnsiTheme="minorHAnsi"/>
        </w:rPr>
        <w:t> </w:t>
      </w:r>
      <w:r w:rsidRPr="00B07D79">
        <w:rPr>
          <w:rFonts w:asciiTheme="minorHAnsi" w:hAnsiTheme="minorHAnsi"/>
        </w:rPr>
        <w:t>většina výrobců přestavbových sad nabízí řešení</w:t>
      </w:r>
    </w:p>
    <w:p w14:paraId="789D414A" w14:textId="57E252CA" w:rsidR="00BF2BD1" w:rsidRPr="00B07D79" w:rsidRDefault="00BF2BD1" w:rsidP="00B07D79">
      <w:pPr>
        <w:spacing w:line="276" w:lineRule="auto"/>
        <w:jc w:val="both"/>
        <w:rPr>
          <w:rFonts w:asciiTheme="minorHAnsi" w:hAnsiTheme="minorHAnsi"/>
        </w:rPr>
      </w:pPr>
      <w:r w:rsidRPr="00B07D79">
        <w:rPr>
          <w:rFonts w:asciiTheme="minorHAnsi" w:hAnsiTheme="minorHAnsi"/>
        </w:rPr>
        <w:t>Překážkou pro velkou část řidičů je stále ještě cena přestavby benzínového vozu na LPG. I</w:t>
      </w:r>
      <w:r w:rsidR="00CF2351" w:rsidRPr="00B07D79">
        <w:rPr>
          <w:rFonts w:asciiTheme="minorHAnsi" w:hAnsiTheme="minorHAnsi"/>
        </w:rPr>
        <w:t> </w:t>
      </w:r>
      <w:r w:rsidRPr="00B07D79">
        <w:rPr>
          <w:rFonts w:asciiTheme="minorHAnsi" w:hAnsiTheme="minorHAnsi"/>
        </w:rPr>
        <w:t>přes následnou ekonomickou úsporu nejsou řidiči dostatečně dobře motivování tuto úpravu podstoupit. Vhodná motivace ze strany státu by byla jednoznačně velkou pomocí.</w:t>
      </w:r>
    </w:p>
    <w:p w14:paraId="43DE99B6" w14:textId="70EC5BC6" w:rsidR="00BF2BD1" w:rsidRPr="00B07D79" w:rsidRDefault="00BF2BD1" w:rsidP="00B07D79">
      <w:pPr>
        <w:spacing w:line="276" w:lineRule="auto"/>
        <w:jc w:val="both"/>
        <w:rPr>
          <w:rFonts w:asciiTheme="minorHAnsi" w:hAnsiTheme="minorHAnsi"/>
        </w:rPr>
      </w:pPr>
      <w:r w:rsidRPr="00B07D79">
        <w:rPr>
          <w:rFonts w:asciiTheme="minorHAnsi" w:hAnsiTheme="minorHAnsi"/>
        </w:rPr>
        <w:t>Sazba spotřební daně je dlouhodobou a</w:t>
      </w:r>
      <w:r w:rsidR="00CF2351" w:rsidRPr="00B07D79">
        <w:rPr>
          <w:rFonts w:asciiTheme="minorHAnsi" w:hAnsiTheme="minorHAnsi"/>
        </w:rPr>
        <w:t> </w:t>
      </w:r>
      <w:r w:rsidRPr="00B07D79">
        <w:rPr>
          <w:rFonts w:asciiTheme="minorHAnsi" w:hAnsiTheme="minorHAnsi"/>
        </w:rPr>
        <w:t>jedinou podporou tuzemského trhu s</w:t>
      </w:r>
      <w:r w:rsidR="00CF2351" w:rsidRPr="00B07D79">
        <w:rPr>
          <w:rFonts w:asciiTheme="minorHAnsi" w:hAnsiTheme="minorHAnsi"/>
        </w:rPr>
        <w:t> </w:t>
      </w:r>
      <w:r w:rsidRPr="00B07D79">
        <w:rPr>
          <w:rFonts w:asciiTheme="minorHAnsi" w:hAnsiTheme="minorHAnsi"/>
        </w:rPr>
        <w:t>LPG. Jakékoliv navýšení by pravděpodobně bylo impulzem ke snížení počtu vozů, spotřeby LPG, ztráty části infrastruktury a</w:t>
      </w:r>
      <w:r w:rsidR="00CF2351" w:rsidRPr="00B07D79">
        <w:rPr>
          <w:rFonts w:asciiTheme="minorHAnsi" w:hAnsiTheme="minorHAnsi"/>
        </w:rPr>
        <w:t> </w:t>
      </w:r>
      <w:r w:rsidRPr="00B07D79">
        <w:rPr>
          <w:rFonts w:asciiTheme="minorHAnsi" w:hAnsiTheme="minorHAnsi"/>
        </w:rPr>
        <w:t>tím i</w:t>
      </w:r>
      <w:r w:rsidR="00CF2351" w:rsidRPr="00B07D79">
        <w:rPr>
          <w:rFonts w:asciiTheme="minorHAnsi" w:hAnsiTheme="minorHAnsi"/>
        </w:rPr>
        <w:t> </w:t>
      </w:r>
      <w:r w:rsidRPr="00B07D79">
        <w:rPr>
          <w:rFonts w:asciiTheme="minorHAnsi" w:hAnsiTheme="minorHAnsi"/>
        </w:rPr>
        <w:t>zhoršení emisní situace v</w:t>
      </w:r>
      <w:r w:rsidR="00CF2351" w:rsidRPr="00B07D79">
        <w:rPr>
          <w:rFonts w:asciiTheme="minorHAnsi" w:hAnsiTheme="minorHAnsi"/>
        </w:rPr>
        <w:t> </w:t>
      </w:r>
      <w:r w:rsidR="00AA36C4" w:rsidRPr="00B07D79">
        <w:rPr>
          <w:rFonts w:asciiTheme="minorHAnsi" w:hAnsiTheme="minorHAnsi"/>
        </w:rPr>
        <w:t>ČR</w:t>
      </w:r>
      <w:r w:rsidRPr="00B07D79">
        <w:rPr>
          <w:rFonts w:asciiTheme="minorHAnsi" w:hAnsiTheme="minorHAnsi"/>
        </w:rPr>
        <w:t xml:space="preserve">. </w:t>
      </w:r>
    </w:p>
    <w:p w14:paraId="4DBBAF43" w14:textId="5A3460CA" w:rsidR="00BF2BD1" w:rsidRPr="00B07D79" w:rsidRDefault="00BF2BD1" w:rsidP="00B07D79">
      <w:pPr>
        <w:spacing w:line="276" w:lineRule="auto"/>
        <w:jc w:val="both"/>
        <w:rPr>
          <w:rFonts w:asciiTheme="minorHAnsi" w:hAnsiTheme="minorHAnsi"/>
        </w:rPr>
      </w:pPr>
      <w:r w:rsidRPr="00B07D79">
        <w:rPr>
          <w:rFonts w:asciiTheme="minorHAnsi" w:hAnsiTheme="minorHAnsi"/>
        </w:rPr>
        <w:t>Rychlejšímu nárůstu podílu bioLPG na českém trhu brání finanční náročnost investic do</w:t>
      </w:r>
      <w:r w:rsidR="00422864" w:rsidRPr="00B07D79">
        <w:rPr>
          <w:rFonts w:asciiTheme="minorHAnsi" w:hAnsiTheme="minorHAnsi"/>
        </w:rPr>
        <w:t> </w:t>
      </w:r>
      <w:r w:rsidRPr="00B07D79">
        <w:rPr>
          <w:rFonts w:asciiTheme="minorHAnsi" w:hAnsiTheme="minorHAnsi"/>
        </w:rPr>
        <w:t>výroben a</w:t>
      </w:r>
      <w:r w:rsidR="00CF2351" w:rsidRPr="00B07D79">
        <w:rPr>
          <w:rFonts w:asciiTheme="minorHAnsi" w:hAnsiTheme="minorHAnsi"/>
        </w:rPr>
        <w:t> </w:t>
      </w:r>
      <w:r w:rsidRPr="00B07D79">
        <w:rPr>
          <w:rFonts w:asciiTheme="minorHAnsi" w:hAnsiTheme="minorHAnsi"/>
        </w:rPr>
        <w:t>vyšší cena konečného „bio“ produktu ve srovnání se základním fosilním palivem. Vhodně zvolená investiční výrobní podpora může pomoci snížit rozdíly a</w:t>
      </w:r>
      <w:r w:rsidR="00CF2351" w:rsidRPr="00B07D79">
        <w:rPr>
          <w:rFonts w:asciiTheme="minorHAnsi" w:hAnsiTheme="minorHAnsi"/>
        </w:rPr>
        <w:t> </w:t>
      </w:r>
      <w:r w:rsidRPr="00B07D79">
        <w:rPr>
          <w:rFonts w:asciiTheme="minorHAnsi" w:hAnsiTheme="minorHAnsi"/>
        </w:rPr>
        <w:t>motivovat investory k</w:t>
      </w:r>
      <w:r w:rsidR="00CF2351" w:rsidRPr="00B07D79">
        <w:rPr>
          <w:rFonts w:asciiTheme="minorHAnsi" w:hAnsiTheme="minorHAnsi"/>
        </w:rPr>
        <w:t> </w:t>
      </w:r>
      <w:r w:rsidRPr="00B07D79">
        <w:rPr>
          <w:rFonts w:asciiTheme="minorHAnsi" w:hAnsiTheme="minorHAnsi"/>
        </w:rPr>
        <w:t>výstavbě výrobních jednotek.</w:t>
      </w:r>
    </w:p>
    <w:p w14:paraId="343F7681" w14:textId="77777777" w:rsidR="00BF2BD1" w:rsidRPr="00B07D79" w:rsidRDefault="00BF2BD1" w:rsidP="00B07D79">
      <w:pPr>
        <w:spacing w:line="276" w:lineRule="auto"/>
        <w:jc w:val="both"/>
        <w:rPr>
          <w:rFonts w:asciiTheme="minorHAnsi" w:hAnsiTheme="minorHAnsi" w:cs="Arial"/>
          <w:iCs/>
          <w:sz w:val="24"/>
          <w:szCs w:val="28"/>
        </w:rPr>
      </w:pPr>
      <w:r w:rsidRPr="00B07D79">
        <w:rPr>
          <w:rFonts w:asciiTheme="minorHAnsi" w:hAnsiTheme="minorHAnsi"/>
        </w:rPr>
        <w:br w:type="page"/>
      </w:r>
    </w:p>
    <w:p w14:paraId="01B2128D" w14:textId="77777777" w:rsidR="00BF2BD1" w:rsidRPr="00B07D79" w:rsidRDefault="00BF2BD1" w:rsidP="0074122A">
      <w:pPr>
        <w:pStyle w:val="Nadpis2"/>
      </w:pPr>
      <w:bookmarkStart w:id="327" w:name="_Toc152329840"/>
      <w:bookmarkStart w:id="328" w:name="_Toc149911232"/>
      <w:bookmarkStart w:id="329" w:name="_Toc159264346"/>
      <w:bookmarkStart w:id="330" w:name="_Toc153208251"/>
      <w:bookmarkStart w:id="331" w:name="_Toc159332179"/>
      <w:bookmarkStart w:id="332" w:name="_Toc159336660"/>
      <w:bookmarkStart w:id="333" w:name="_Toc160021763"/>
      <w:bookmarkStart w:id="334" w:name="_Toc162447453"/>
      <w:bookmarkStart w:id="335" w:name="_Toc173240087"/>
      <w:r w:rsidRPr="00B07D79">
        <w:lastRenderedPageBreak/>
        <w:t>Paliva na bázi čpavku</w:t>
      </w:r>
      <w:bookmarkEnd w:id="327"/>
      <w:bookmarkEnd w:id="328"/>
      <w:bookmarkEnd w:id="329"/>
      <w:bookmarkEnd w:id="330"/>
      <w:bookmarkEnd w:id="331"/>
      <w:bookmarkEnd w:id="332"/>
      <w:bookmarkEnd w:id="333"/>
      <w:bookmarkEnd w:id="334"/>
      <w:bookmarkEnd w:id="335"/>
    </w:p>
    <w:p w14:paraId="277E5CFA" w14:textId="7E7B7DD3" w:rsidR="00BF2BD1" w:rsidRPr="00516C35" w:rsidRDefault="00BF2BD1" w:rsidP="00B07D79">
      <w:pPr>
        <w:spacing w:line="276" w:lineRule="auto"/>
        <w:jc w:val="both"/>
        <w:rPr>
          <w:rFonts w:asciiTheme="minorHAnsi" w:hAnsiTheme="minorHAnsi"/>
          <w:color w:val="385623" w:themeColor="accent6" w:themeShade="80"/>
          <w:sz w:val="24"/>
          <w:szCs w:val="28"/>
        </w:rPr>
      </w:pPr>
      <w:r w:rsidRPr="00516C35">
        <w:rPr>
          <w:rFonts w:asciiTheme="minorHAnsi" w:hAnsiTheme="minorHAnsi"/>
          <w:color w:val="385623" w:themeColor="accent6" w:themeShade="80"/>
          <w:sz w:val="24"/>
          <w:szCs w:val="28"/>
        </w:rPr>
        <w:t>Historie využití čpavku v</w:t>
      </w:r>
      <w:r w:rsidR="00CF2351" w:rsidRPr="00516C35">
        <w:rPr>
          <w:rFonts w:asciiTheme="minorHAnsi" w:hAnsiTheme="minorHAnsi"/>
          <w:color w:val="385623" w:themeColor="accent6" w:themeShade="80"/>
          <w:sz w:val="24"/>
          <w:szCs w:val="28"/>
        </w:rPr>
        <w:t> </w:t>
      </w:r>
      <w:r w:rsidRPr="00516C35">
        <w:rPr>
          <w:rFonts w:asciiTheme="minorHAnsi" w:hAnsiTheme="minorHAnsi"/>
          <w:color w:val="385623" w:themeColor="accent6" w:themeShade="80"/>
          <w:sz w:val="24"/>
          <w:szCs w:val="28"/>
        </w:rPr>
        <w:t>dopravě</w:t>
      </w:r>
    </w:p>
    <w:p w14:paraId="35C1ADAD" w14:textId="77E9A6AD" w:rsidR="00BF2BD1" w:rsidRPr="00B07D79" w:rsidRDefault="00BF2BD1" w:rsidP="00B07D79">
      <w:pPr>
        <w:spacing w:line="276" w:lineRule="auto"/>
        <w:jc w:val="both"/>
        <w:rPr>
          <w:rFonts w:asciiTheme="minorHAnsi" w:hAnsiTheme="minorHAnsi"/>
        </w:rPr>
      </w:pPr>
      <w:r w:rsidRPr="00B07D79">
        <w:rPr>
          <w:rFonts w:asciiTheme="minorHAnsi" w:hAnsiTheme="minorHAnsi"/>
        </w:rPr>
        <w:t>Čpavek (amoniak) je podle objemu výroby druhá nejběžnější a</w:t>
      </w:r>
      <w:r w:rsidR="00CF2351" w:rsidRPr="00B07D79">
        <w:rPr>
          <w:rFonts w:asciiTheme="minorHAnsi" w:hAnsiTheme="minorHAnsi"/>
        </w:rPr>
        <w:t> </w:t>
      </w:r>
      <w:r w:rsidRPr="00B07D79">
        <w:rPr>
          <w:rFonts w:asciiTheme="minorHAnsi" w:hAnsiTheme="minorHAnsi"/>
        </w:rPr>
        <w:t>nejrozšířenější chemická sloučenina. V</w:t>
      </w:r>
      <w:r w:rsidR="00CF2351" w:rsidRPr="00B07D79">
        <w:rPr>
          <w:rFonts w:asciiTheme="minorHAnsi" w:hAnsiTheme="minorHAnsi"/>
        </w:rPr>
        <w:t> </w:t>
      </w:r>
      <w:r w:rsidRPr="00B07D79">
        <w:rPr>
          <w:rFonts w:asciiTheme="minorHAnsi" w:hAnsiTheme="minorHAnsi"/>
        </w:rPr>
        <w:t>roce 2006 byla její celosvětová výroba odhadována na 146 milionů tun. Přes</w:t>
      </w:r>
      <w:r w:rsidR="00422864" w:rsidRPr="00B07D79">
        <w:rPr>
          <w:rFonts w:asciiTheme="minorHAnsi" w:hAnsiTheme="minorHAnsi"/>
        </w:rPr>
        <w:t> </w:t>
      </w:r>
      <w:r w:rsidRPr="00B07D79">
        <w:rPr>
          <w:rFonts w:asciiTheme="minorHAnsi" w:hAnsiTheme="minorHAnsi"/>
        </w:rPr>
        <w:t>80% výroby je využíváno v</w:t>
      </w:r>
      <w:r w:rsidR="00CF2351" w:rsidRPr="00B07D79">
        <w:rPr>
          <w:rFonts w:asciiTheme="minorHAnsi" w:hAnsiTheme="minorHAnsi"/>
        </w:rPr>
        <w:t> </w:t>
      </w:r>
      <w:r w:rsidRPr="00B07D79">
        <w:rPr>
          <w:rFonts w:asciiTheme="minorHAnsi" w:hAnsiTheme="minorHAnsi"/>
        </w:rPr>
        <w:t>zemědělství (hnojiva).</w:t>
      </w:r>
    </w:p>
    <w:p w14:paraId="6230A1EF" w14:textId="0A01A433" w:rsidR="00BF2BD1" w:rsidRPr="00B07D79" w:rsidRDefault="00BF2BD1" w:rsidP="00B07D79">
      <w:pPr>
        <w:spacing w:line="276" w:lineRule="auto"/>
        <w:jc w:val="both"/>
        <w:rPr>
          <w:rFonts w:asciiTheme="minorHAnsi" w:hAnsiTheme="minorHAnsi"/>
        </w:rPr>
      </w:pPr>
      <w:r w:rsidRPr="00B07D79">
        <w:rPr>
          <w:rFonts w:asciiTheme="minorHAnsi" w:hAnsiTheme="minorHAnsi"/>
        </w:rPr>
        <w:t>Čpavek jako motorové palivo byl používán již před rokem 1900, většího rozšíření se</w:t>
      </w:r>
      <w:r w:rsidR="00422864" w:rsidRPr="00B07D79">
        <w:rPr>
          <w:rFonts w:asciiTheme="minorHAnsi" w:hAnsiTheme="minorHAnsi"/>
        </w:rPr>
        <w:t> </w:t>
      </w:r>
      <w:r w:rsidRPr="00B07D79">
        <w:rPr>
          <w:rFonts w:asciiTheme="minorHAnsi" w:hAnsiTheme="minorHAnsi"/>
        </w:rPr>
        <w:t>mu</w:t>
      </w:r>
      <w:r w:rsidR="00422864" w:rsidRPr="00B07D79">
        <w:rPr>
          <w:rFonts w:asciiTheme="minorHAnsi" w:hAnsiTheme="minorHAnsi"/>
        </w:rPr>
        <w:t> </w:t>
      </w:r>
      <w:r w:rsidRPr="00B07D79">
        <w:rPr>
          <w:rFonts w:asciiTheme="minorHAnsi" w:hAnsiTheme="minorHAnsi"/>
        </w:rPr>
        <w:t>dostalo až za 2. světové války v</w:t>
      </w:r>
      <w:r w:rsidR="00CF2351" w:rsidRPr="00B07D79">
        <w:rPr>
          <w:rFonts w:asciiTheme="minorHAnsi" w:hAnsiTheme="minorHAnsi"/>
        </w:rPr>
        <w:t> </w:t>
      </w:r>
      <w:r w:rsidRPr="00B07D79">
        <w:rPr>
          <w:rFonts w:asciiTheme="minorHAnsi" w:hAnsiTheme="minorHAnsi"/>
        </w:rPr>
        <w:t>Belgii, po válce byl ale projekt zastaven pro</w:t>
      </w:r>
      <w:r w:rsidR="00422864" w:rsidRPr="00B07D79">
        <w:rPr>
          <w:rFonts w:asciiTheme="minorHAnsi" w:hAnsiTheme="minorHAnsi"/>
        </w:rPr>
        <w:t> </w:t>
      </w:r>
      <w:r w:rsidRPr="00B07D79">
        <w:rPr>
          <w:rFonts w:asciiTheme="minorHAnsi" w:hAnsiTheme="minorHAnsi"/>
        </w:rPr>
        <w:t>nadbytečnost, protože byly k</w:t>
      </w:r>
      <w:r w:rsidR="00CF2351" w:rsidRPr="00B07D79">
        <w:rPr>
          <w:rFonts w:asciiTheme="minorHAnsi" w:hAnsiTheme="minorHAnsi"/>
        </w:rPr>
        <w:t> </w:t>
      </w:r>
      <w:r w:rsidRPr="00B07D79">
        <w:rPr>
          <w:rFonts w:asciiTheme="minorHAnsi" w:hAnsiTheme="minorHAnsi"/>
        </w:rPr>
        <w:t>opět k</w:t>
      </w:r>
      <w:r w:rsidR="00CF2351" w:rsidRPr="00B07D79">
        <w:rPr>
          <w:rFonts w:asciiTheme="minorHAnsi" w:hAnsiTheme="minorHAnsi"/>
        </w:rPr>
        <w:t> </w:t>
      </w:r>
      <w:r w:rsidRPr="00B07D79">
        <w:rPr>
          <w:rFonts w:asciiTheme="minorHAnsi" w:hAnsiTheme="minorHAnsi"/>
        </w:rPr>
        <w:t>dispozici dostatečné objemy klasických ropných paliv.</w:t>
      </w:r>
    </w:p>
    <w:p w14:paraId="7EC130BA" w14:textId="65F83BD9" w:rsidR="00BF2BD1" w:rsidRPr="00516C35" w:rsidRDefault="00BF2BD1" w:rsidP="00B07D79">
      <w:pPr>
        <w:spacing w:line="276" w:lineRule="auto"/>
        <w:jc w:val="both"/>
        <w:rPr>
          <w:rFonts w:asciiTheme="minorHAnsi" w:hAnsiTheme="minorHAnsi"/>
          <w:color w:val="385623" w:themeColor="accent6" w:themeShade="80"/>
          <w:sz w:val="24"/>
          <w:szCs w:val="28"/>
        </w:rPr>
      </w:pPr>
      <w:r w:rsidRPr="00516C35">
        <w:rPr>
          <w:rFonts w:asciiTheme="minorHAnsi" w:hAnsiTheme="minorHAnsi"/>
          <w:color w:val="385623" w:themeColor="accent6" w:themeShade="80"/>
          <w:sz w:val="24"/>
          <w:szCs w:val="28"/>
        </w:rPr>
        <w:t>Tradiční a</w:t>
      </w:r>
      <w:r w:rsidR="00CF2351" w:rsidRPr="00516C35">
        <w:rPr>
          <w:rFonts w:asciiTheme="minorHAnsi" w:hAnsiTheme="minorHAnsi"/>
          <w:color w:val="385623" w:themeColor="accent6" w:themeShade="80"/>
          <w:sz w:val="24"/>
          <w:szCs w:val="28"/>
        </w:rPr>
        <w:t> </w:t>
      </w:r>
      <w:r w:rsidRPr="00516C35">
        <w:rPr>
          <w:rFonts w:asciiTheme="minorHAnsi" w:hAnsiTheme="minorHAnsi"/>
          <w:color w:val="385623" w:themeColor="accent6" w:themeShade="80"/>
          <w:sz w:val="24"/>
          <w:szCs w:val="28"/>
        </w:rPr>
        <w:t xml:space="preserve">„bezemisní“ výroba čpavku </w:t>
      </w:r>
    </w:p>
    <w:p w14:paraId="547746C8" w14:textId="143B1569" w:rsidR="00BF2BD1" w:rsidRPr="00B07D79" w:rsidRDefault="00BF2BD1" w:rsidP="00B07D79">
      <w:pPr>
        <w:spacing w:line="276" w:lineRule="auto"/>
        <w:jc w:val="both"/>
        <w:rPr>
          <w:rFonts w:asciiTheme="minorHAnsi" w:hAnsiTheme="minorHAnsi"/>
        </w:rPr>
      </w:pPr>
      <w:r w:rsidRPr="00B07D79">
        <w:rPr>
          <w:rFonts w:asciiTheme="minorHAnsi" w:hAnsiTheme="minorHAnsi"/>
        </w:rPr>
        <w:t>Typickým zdrojem pro výrobu čpavku je „fosilní“ zemní plyn. Ve snaze snižovat emise skleníkových plynů v</w:t>
      </w:r>
      <w:r w:rsidR="00CF2351" w:rsidRPr="00B07D79">
        <w:rPr>
          <w:rFonts w:asciiTheme="minorHAnsi" w:hAnsiTheme="minorHAnsi"/>
        </w:rPr>
        <w:t> </w:t>
      </w:r>
      <w:r w:rsidRPr="00B07D79">
        <w:rPr>
          <w:rFonts w:asciiTheme="minorHAnsi" w:hAnsiTheme="minorHAnsi"/>
        </w:rPr>
        <w:t xml:space="preserve">průmyslu byl zdokonalen alternativní výrobní proces založený na Haber – Boschově syntéze. </w:t>
      </w:r>
    </w:p>
    <w:p w14:paraId="7EE34031" w14:textId="735BE54D" w:rsidR="00BF2BD1" w:rsidRPr="00B07D79" w:rsidRDefault="00BF2BD1" w:rsidP="00B07D79">
      <w:pPr>
        <w:spacing w:line="276" w:lineRule="auto"/>
        <w:jc w:val="both"/>
        <w:rPr>
          <w:rFonts w:asciiTheme="minorHAnsi" w:hAnsiTheme="minorHAnsi"/>
        </w:rPr>
      </w:pPr>
      <w:r w:rsidRPr="00B07D79">
        <w:rPr>
          <w:rFonts w:asciiTheme="minorHAnsi" w:hAnsiTheme="minorHAnsi"/>
        </w:rPr>
        <w:t>Primárním energetickým vstupem „čistého čpavku“ je elektřina z</w:t>
      </w:r>
      <w:r w:rsidR="00CF2351" w:rsidRPr="00B07D79">
        <w:rPr>
          <w:rFonts w:asciiTheme="minorHAnsi" w:hAnsiTheme="minorHAnsi"/>
        </w:rPr>
        <w:t> </w:t>
      </w:r>
      <w:r w:rsidRPr="00B07D79">
        <w:rPr>
          <w:rFonts w:asciiTheme="minorHAnsi" w:hAnsiTheme="minorHAnsi"/>
        </w:rPr>
        <w:t>obnovitelného zdroje, která je využita při elektrolýze na získání vodíku z</w:t>
      </w:r>
      <w:r w:rsidR="00CF2351" w:rsidRPr="00B07D79">
        <w:rPr>
          <w:rFonts w:asciiTheme="minorHAnsi" w:hAnsiTheme="minorHAnsi"/>
        </w:rPr>
        <w:t> </w:t>
      </w:r>
      <w:r w:rsidRPr="00B07D79">
        <w:rPr>
          <w:rFonts w:asciiTheme="minorHAnsi" w:hAnsiTheme="minorHAnsi"/>
        </w:rPr>
        <w:t>vody. Separací se z</w:t>
      </w:r>
      <w:r w:rsidR="00CF2351" w:rsidRPr="00B07D79">
        <w:rPr>
          <w:rFonts w:asciiTheme="minorHAnsi" w:hAnsiTheme="minorHAnsi"/>
        </w:rPr>
        <w:t> </w:t>
      </w:r>
      <w:r w:rsidRPr="00B07D79">
        <w:rPr>
          <w:rFonts w:asciiTheme="minorHAnsi" w:hAnsiTheme="minorHAnsi"/>
        </w:rPr>
        <w:t>okolního ovzduší získává další surovina, dusík. Haber-Boschovým procesem je pak z</w:t>
      </w:r>
      <w:r w:rsidR="00CF2351" w:rsidRPr="00B07D79">
        <w:rPr>
          <w:rFonts w:asciiTheme="minorHAnsi" w:hAnsiTheme="minorHAnsi"/>
        </w:rPr>
        <w:t> </w:t>
      </w:r>
      <w:r w:rsidRPr="00B07D79">
        <w:rPr>
          <w:rFonts w:asciiTheme="minorHAnsi" w:hAnsiTheme="minorHAnsi"/>
        </w:rPr>
        <w:t>obou surovin vyráběn syntetický čpavek, viz přiložené schéma.</w:t>
      </w:r>
    </w:p>
    <w:p w14:paraId="6F229A53" w14:textId="2304A4EF" w:rsidR="00BF2BD1" w:rsidRPr="00516C35" w:rsidRDefault="00BF2BD1" w:rsidP="00B07D79">
      <w:pPr>
        <w:pStyle w:val="Titulek"/>
        <w:keepNext/>
        <w:spacing w:line="276" w:lineRule="auto"/>
        <w:jc w:val="both"/>
        <w:rPr>
          <w:rFonts w:asciiTheme="minorHAnsi" w:hAnsiTheme="minorHAnsi"/>
          <w:b w:val="0"/>
          <w:bCs w:val="0"/>
          <w:color w:val="385623" w:themeColor="accent6" w:themeShade="80"/>
        </w:rPr>
      </w:pPr>
      <w:r w:rsidRPr="00516C35">
        <w:rPr>
          <w:rFonts w:asciiTheme="minorHAnsi" w:hAnsiTheme="minorHAnsi"/>
          <w:b w:val="0"/>
          <w:bCs w:val="0"/>
          <w:color w:val="385623" w:themeColor="accent6" w:themeShade="80"/>
        </w:rPr>
        <w:t xml:space="preserve">Obrázek </w:t>
      </w:r>
      <w:r w:rsidR="007D4BC4" w:rsidRPr="00516C35">
        <w:rPr>
          <w:rFonts w:asciiTheme="minorHAnsi" w:hAnsiTheme="minorHAnsi"/>
          <w:b w:val="0"/>
          <w:bCs w:val="0"/>
          <w:color w:val="385623" w:themeColor="accent6" w:themeShade="80"/>
        </w:rPr>
        <w:t>39</w:t>
      </w:r>
      <w:r w:rsidR="007D4BC4" w:rsidRPr="00516C35">
        <w:rPr>
          <w:rFonts w:asciiTheme="minorHAnsi" w:hAnsiTheme="minorHAnsi"/>
          <w:b w:val="0"/>
          <w:bCs w:val="0"/>
          <w:noProof/>
          <w:color w:val="385623" w:themeColor="accent6" w:themeShade="80"/>
        </w:rPr>
        <w:t xml:space="preserve"> </w:t>
      </w:r>
      <w:r w:rsidRPr="00516C35">
        <w:rPr>
          <w:rFonts w:asciiTheme="minorHAnsi" w:hAnsiTheme="minorHAnsi"/>
          <w:b w:val="0"/>
          <w:bCs w:val="0"/>
          <w:color w:val="385623" w:themeColor="accent6" w:themeShade="80"/>
        </w:rPr>
        <w:t>Tradiční a</w:t>
      </w:r>
      <w:r w:rsidR="00CF2351" w:rsidRPr="00516C35">
        <w:rPr>
          <w:rFonts w:asciiTheme="minorHAnsi" w:hAnsiTheme="minorHAnsi"/>
          <w:b w:val="0"/>
          <w:bCs w:val="0"/>
          <w:color w:val="385623" w:themeColor="accent6" w:themeShade="80"/>
        </w:rPr>
        <w:t> </w:t>
      </w:r>
      <w:r w:rsidRPr="00516C35">
        <w:rPr>
          <w:rFonts w:asciiTheme="minorHAnsi" w:hAnsiTheme="minorHAnsi"/>
          <w:b w:val="0"/>
          <w:bCs w:val="0"/>
          <w:color w:val="385623" w:themeColor="accent6" w:themeShade="80"/>
        </w:rPr>
        <w:t>„bezemisní“ výroba čpavku</w:t>
      </w:r>
    </w:p>
    <w:p w14:paraId="2EE5CC01"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40D008CC" wp14:editId="07EE4A10">
            <wp:extent cx="5756910" cy="3026410"/>
            <wp:effectExtent l="0" t="0" r="0" b="0"/>
            <wp:docPr id="760220223" name="Obrázek 7602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09646" name="schema amoniak.pdf"/>
                    <pic:cNvPicPr/>
                  </pic:nvPicPr>
                  <pic:blipFill>
                    <a:blip r:embed="rId82">
                      <a:extLst>
                        <a:ext uri="{28A0092B-C50C-407E-A947-70E740481C1C}">
                          <a14:useLocalDpi xmlns:a14="http://schemas.microsoft.com/office/drawing/2010/main" val="0"/>
                        </a:ext>
                      </a:extLst>
                    </a:blip>
                    <a:stretch>
                      <a:fillRect/>
                    </a:stretch>
                  </pic:blipFill>
                  <pic:spPr>
                    <a:xfrm>
                      <a:off x="0" y="0"/>
                      <a:ext cx="5756910" cy="3026410"/>
                    </a:xfrm>
                    <a:prstGeom prst="rect">
                      <a:avLst/>
                    </a:prstGeom>
                  </pic:spPr>
                </pic:pic>
              </a:graphicData>
            </a:graphic>
          </wp:inline>
        </w:drawing>
      </w:r>
    </w:p>
    <w:p w14:paraId="6A823515" w14:textId="7729720C" w:rsidR="00BF2BD1" w:rsidRPr="00B07D79" w:rsidRDefault="00BF2BD1" w:rsidP="00B07D79">
      <w:pPr>
        <w:spacing w:line="276" w:lineRule="auto"/>
        <w:jc w:val="both"/>
        <w:rPr>
          <w:rFonts w:asciiTheme="minorHAnsi" w:hAnsiTheme="minorHAnsi"/>
        </w:rPr>
      </w:pPr>
      <w:r w:rsidRPr="00B07D79">
        <w:rPr>
          <w:rFonts w:asciiTheme="minorHAnsi" w:hAnsiTheme="minorHAnsi"/>
        </w:rPr>
        <w:t>Takto vyráběný čpavek je zcela bezemisním zdrojem, protože ani při jeho výrobě a</w:t>
      </w:r>
      <w:r w:rsidR="00CF2351" w:rsidRPr="00B07D79">
        <w:rPr>
          <w:rFonts w:asciiTheme="minorHAnsi" w:hAnsiTheme="minorHAnsi"/>
        </w:rPr>
        <w:t> </w:t>
      </w:r>
      <w:r w:rsidRPr="00B07D79">
        <w:rPr>
          <w:rFonts w:asciiTheme="minorHAnsi" w:hAnsiTheme="minorHAnsi"/>
        </w:rPr>
        <w:t xml:space="preserve">samozřejmě ani při následném využití nevznikají žádné emise skleníkových plynů. </w:t>
      </w:r>
    </w:p>
    <w:p w14:paraId="203B658F" w14:textId="22CBE444" w:rsidR="00BF2BD1" w:rsidRPr="00B07D79" w:rsidRDefault="00BF2BD1" w:rsidP="00B07D79">
      <w:pPr>
        <w:spacing w:line="276" w:lineRule="auto"/>
        <w:jc w:val="both"/>
        <w:rPr>
          <w:rFonts w:asciiTheme="minorHAnsi" w:hAnsiTheme="minorHAnsi"/>
        </w:rPr>
      </w:pPr>
      <w:r w:rsidRPr="00B07D79">
        <w:rPr>
          <w:rFonts w:asciiTheme="minorHAnsi" w:hAnsiTheme="minorHAnsi"/>
        </w:rPr>
        <w:t>Pokud je k</w:t>
      </w:r>
      <w:r w:rsidR="00CF2351" w:rsidRPr="00B07D79">
        <w:rPr>
          <w:rFonts w:asciiTheme="minorHAnsi" w:hAnsiTheme="minorHAnsi"/>
        </w:rPr>
        <w:t> </w:t>
      </w:r>
      <w:r w:rsidRPr="00B07D79">
        <w:rPr>
          <w:rFonts w:asciiTheme="minorHAnsi" w:hAnsiTheme="minorHAnsi"/>
        </w:rPr>
        <w:t>výrobě používána elektrická energie z</w:t>
      </w:r>
      <w:r w:rsidR="00CF2351" w:rsidRPr="00B07D79">
        <w:rPr>
          <w:rFonts w:asciiTheme="minorHAnsi" w:hAnsiTheme="minorHAnsi"/>
        </w:rPr>
        <w:t> </w:t>
      </w:r>
      <w:r w:rsidRPr="00B07D79">
        <w:rPr>
          <w:rFonts w:asciiTheme="minorHAnsi" w:hAnsiTheme="minorHAnsi"/>
        </w:rPr>
        <w:t>rozvodné sítě, je možno technologii nastavit pouze k</w:t>
      </w:r>
      <w:r w:rsidR="00CF2351" w:rsidRPr="00B07D79">
        <w:rPr>
          <w:rFonts w:asciiTheme="minorHAnsi" w:hAnsiTheme="minorHAnsi"/>
        </w:rPr>
        <w:t> </w:t>
      </w:r>
      <w:r w:rsidRPr="00B07D79">
        <w:rPr>
          <w:rFonts w:asciiTheme="minorHAnsi" w:hAnsiTheme="minorHAnsi"/>
        </w:rPr>
        <w:t>odběru špiček, které by jinak nebyly využity. I</w:t>
      </w:r>
      <w:r w:rsidR="00CF2351" w:rsidRPr="00B07D79">
        <w:rPr>
          <w:rFonts w:asciiTheme="minorHAnsi" w:hAnsiTheme="minorHAnsi"/>
        </w:rPr>
        <w:t> </w:t>
      </w:r>
      <w:r w:rsidRPr="00B07D79">
        <w:rPr>
          <w:rFonts w:asciiTheme="minorHAnsi" w:hAnsiTheme="minorHAnsi"/>
        </w:rPr>
        <w:t>v takovém případě lze teoreticky hovořit o</w:t>
      </w:r>
      <w:r w:rsidR="00CF2351" w:rsidRPr="00B07D79">
        <w:rPr>
          <w:rFonts w:asciiTheme="minorHAnsi" w:hAnsiTheme="minorHAnsi"/>
        </w:rPr>
        <w:t> </w:t>
      </w:r>
      <w:r w:rsidRPr="00B07D79">
        <w:rPr>
          <w:rFonts w:asciiTheme="minorHAnsi" w:hAnsiTheme="minorHAnsi"/>
        </w:rPr>
        <w:t>bezemisním zdroji, protože využití takové energie nezvyšuje produkci CO</w:t>
      </w:r>
      <w:r w:rsidRPr="00B07D79">
        <w:rPr>
          <w:rFonts w:asciiTheme="minorHAnsi" w:hAnsiTheme="minorHAnsi"/>
          <w:vertAlign w:val="subscript"/>
        </w:rPr>
        <w:t>2</w:t>
      </w:r>
      <w:r w:rsidRPr="00B07D79">
        <w:rPr>
          <w:rFonts w:asciiTheme="minorHAnsi" w:hAnsiTheme="minorHAnsi"/>
        </w:rPr>
        <w:t>.</w:t>
      </w:r>
    </w:p>
    <w:p w14:paraId="21B3ED40"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br w:type="page"/>
      </w:r>
    </w:p>
    <w:p w14:paraId="0EA182F9" w14:textId="2C54E7A7" w:rsidR="00BF2BD1" w:rsidRPr="00516C35" w:rsidRDefault="00BF2BD1" w:rsidP="00B07D79">
      <w:pPr>
        <w:spacing w:line="276" w:lineRule="auto"/>
        <w:jc w:val="both"/>
        <w:rPr>
          <w:rFonts w:asciiTheme="minorHAnsi" w:hAnsiTheme="minorHAnsi"/>
          <w:color w:val="385623" w:themeColor="accent6" w:themeShade="80"/>
          <w:sz w:val="24"/>
          <w:szCs w:val="28"/>
        </w:rPr>
      </w:pPr>
      <w:r w:rsidRPr="00516C35">
        <w:rPr>
          <w:rFonts w:asciiTheme="minorHAnsi" w:hAnsiTheme="minorHAnsi"/>
          <w:color w:val="385623" w:themeColor="accent6" w:themeShade="80"/>
          <w:sz w:val="24"/>
          <w:szCs w:val="28"/>
        </w:rPr>
        <w:lastRenderedPageBreak/>
        <w:t>Novodobé možnosti využití čpavku v</w:t>
      </w:r>
      <w:r w:rsidR="00CF2351" w:rsidRPr="00516C35">
        <w:rPr>
          <w:rFonts w:asciiTheme="minorHAnsi" w:hAnsiTheme="minorHAnsi"/>
          <w:color w:val="385623" w:themeColor="accent6" w:themeShade="80"/>
          <w:sz w:val="24"/>
          <w:szCs w:val="28"/>
        </w:rPr>
        <w:t> </w:t>
      </w:r>
      <w:r w:rsidRPr="00516C35">
        <w:rPr>
          <w:rFonts w:asciiTheme="minorHAnsi" w:hAnsiTheme="minorHAnsi"/>
          <w:color w:val="385623" w:themeColor="accent6" w:themeShade="80"/>
          <w:sz w:val="24"/>
          <w:szCs w:val="28"/>
        </w:rPr>
        <w:t>energetice a</w:t>
      </w:r>
      <w:r w:rsidR="00CF2351" w:rsidRPr="00516C35">
        <w:rPr>
          <w:rFonts w:asciiTheme="minorHAnsi" w:hAnsiTheme="minorHAnsi"/>
          <w:color w:val="385623" w:themeColor="accent6" w:themeShade="80"/>
          <w:sz w:val="24"/>
          <w:szCs w:val="28"/>
        </w:rPr>
        <w:t> </w:t>
      </w:r>
      <w:r w:rsidRPr="00516C35">
        <w:rPr>
          <w:rFonts w:asciiTheme="minorHAnsi" w:hAnsiTheme="minorHAnsi"/>
          <w:color w:val="385623" w:themeColor="accent6" w:themeShade="80"/>
          <w:sz w:val="24"/>
          <w:szCs w:val="28"/>
        </w:rPr>
        <w:t>dopravě</w:t>
      </w:r>
    </w:p>
    <w:p w14:paraId="652A5250" w14:textId="77777777" w:rsidR="00BF2BD1" w:rsidRPr="00516C35" w:rsidRDefault="00BF2BD1" w:rsidP="00B07D79">
      <w:pPr>
        <w:spacing w:line="276" w:lineRule="auto"/>
        <w:jc w:val="both"/>
        <w:rPr>
          <w:rFonts w:asciiTheme="minorHAnsi" w:hAnsiTheme="minorHAnsi"/>
          <w:color w:val="385623" w:themeColor="accent6" w:themeShade="80"/>
        </w:rPr>
      </w:pPr>
      <w:r w:rsidRPr="00516C35">
        <w:rPr>
          <w:rFonts w:asciiTheme="minorHAnsi" w:hAnsiTheme="minorHAnsi"/>
          <w:color w:val="385623" w:themeColor="accent6" w:themeShade="80"/>
        </w:rPr>
        <w:t>Energetika</w:t>
      </w:r>
    </w:p>
    <w:p w14:paraId="23A4A852" w14:textId="20CFFF8B" w:rsidR="00BF2BD1" w:rsidRPr="00B07D79" w:rsidRDefault="00BF2BD1" w:rsidP="00B07D79">
      <w:pPr>
        <w:spacing w:line="276" w:lineRule="auto"/>
        <w:jc w:val="both"/>
        <w:rPr>
          <w:rFonts w:asciiTheme="minorHAnsi" w:hAnsiTheme="minorHAnsi"/>
        </w:rPr>
      </w:pPr>
      <w:r w:rsidRPr="00B07D79">
        <w:rPr>
          <w:rFonts w:asciiTheme="minorHAnsi" w:hAnsiTheme="minorHAnsi"/>
        </w:rPr>
        <w:t>Bezemisně vyrobený čpavek je samozřejmě možno používat jako náhradu běžného čpavku v</w:t>
      </w:r>
      <w:r w:rsidR="00CF2351" w:rsidRPr="00B07D79">
        <w:rPr>
          <w:rFonts w:asciiTheme="minorHAnsi" w:hAnsiTheme="minorHAnsi"/>
        </w:rPr>
        <w:t> </w:t>
      </w:r>
      <w:r w:rsidRPr="00B07D79">
        <w:rPr>
          <w:rFonts w:asciiTheme="minorHAnsi" w:hAnsiTheme="minorHAnsi"/>
        </w:rPr>
        <w:t>zemědělství, chemické výrobě, průmyslu</w:t>
      </w:r>
      <w:r w:rsidR="008B04ED" w:rsidRPr="00B07D79">
        <w:rPr>
          <w:rFonts w:asciiTheme="minorHAnsi" w:hAnsiTheme="minorHAnsi"/>
        </w:rPr>
        <w:t xml:space="preserve">. </w:t>
      </w:r>
      <w:r w:rsidRPr="00B07D79">
        <w:rPr>
          <w:rFonts w:asciiTheme="minorHAnsi" w:hAnsiTheme="minorHAnsi"/>
        </w:rPr>
        <w:t>Novou možností je využití čpavku jako úložiště energie. Rozložením čpavku lze získat čistý vodík, kterým je dále poháněn palivový článek. Tato „čpavková baterie“ má sice v</w:t>
      </w:r>
      <w:r w:rsidR="00CF2351" w:rsidRPr="00B07D79">
        <w:rPr>
          <w:rFonts w:asciiTheme="minorHAnsi" w:hAnsiTheme="minorHAnsi"/>
        </w:rPr>
        <w:t> </w:t>
      </w:r>
      <w:r w:rsidRPr="00B07D79">
        <w:rPr>
          <w:rFonts w:asciiTheme="minorHAnsi" w:hAnsiTheme="minorHAnsi"/>
        </w:rPr>
        <w:t>porovnání s</w:t>
      </w:r>
      <w:r w:rsidR="00CF2351" w:rsidRPr="00B07D79">
        <w:rPr>
          <w:rFonts w:asciiTheme="minorHAnsi" w:hAnsiTheme="minorHAnsi"/>
        </w:rPr>
        <w:t> </w:t>
      </w:r>
      <w:r w:rsidRPr="00B07D79">
        <w:rPr>
          <w:rFonts w:asciiTheme="minorHAnsi" w:hAnsiTheme="minorHAnsi"/>
        </w:rPr>
        <w:t>běžnou baterií vyšší ztráty, ale má také významné výhody. Čpavek lze poměrně snadno a</w:t>
      </w:r>
      <w:r w:rsidR="00CF2351" w:rsidRPr="00B07D79">
        <w:rPr>
          <w:rFonts w:asciiTheme="minorHAnsi" w:hAnsiTheme="minorHAnsi"/>
        </w:rPr>
        <w:t> </w:t>
      </w:r>
      <w:r w:rsidRPr="00B07D79">
        <w:rPr>
          <w:rFonts w:asciiTheme="minorHAnsi" w:hAnsiTheme="minorHAnsi"/>
        </w:rPr>
        <w:t>beze ztrát uchovávat velmi dlouhou dobu (zatímco elektrická baterie se časem vybíjí). Zároveň není pro uchování energie potřeba energeticky a</w:t>
      </w:r>
      <w:r w:rsidR="00CF2351" w:rsidRPr="00B07D79">
        <w:rPr>
          <w:rFonts w:asciiTheme="minorHAnsi" w:hAnsiTheme="minorHAnsi"/>
        </w:rPr>
        <w:t> </w:t>
      </w:r>
      <w:r w:rsidRPr="00B07D79">
        <w:rPr>
          <w:rFonts w:asciiTheme="minorHAnsi" w:hAnsiTheme="minorHAnsi"/>
        </w:rPr>
        <w:t>environmentálně náročných procesů výroby baterie obsahující lithium, kobalt a</w:t>
      </w:r>
      <w:r w:rsidR="00CF2351" w:rsidRPr="00B07D79">
        <w:rPr>
          <w:rFonts w:asciiTheme="minorHAnsi" w:hAnsiTheme="minorHAnsi"/>
        </w:rPr>
        <w:t> </w:t>
      </w:r>
      <w:r w:rsidRPr="00B07D79">
        <w:rPr>
          <w:rFonts w:asciiTheme="minorHAnsi" w:hAnsiTheme="minorHAnsi"/>
        </w:rPr>
        <w:t>další prvky.</w:t>
      </w:r>
    </w:p>
    <w:p w14:paraId="7EDA22C8" w14:textId="43EF34B0" w:rsidR="00BF2BD1" w:rsidRPr="00B07D79" w:rsidRDefault="00BF2BD1" w:rsidP="00B07D79">
      <w:pPr>
        <w:spacing w:line="276" w:lineRule="auto"/>
        <w:jc w:val="both"/>
        <w:rPr>
          <w:rFonts w:asciiTheme="minorHAnsi" w:hAnsiTheme="minorHAnsi"/>
        </w:rPr>
      </w:pPr>
      <w:r w:rsidRPr="00B07D79">
        <w:rPr>
          <w:rFonts w:asciiTheme="minorHAnsi" w:hAnsiTheme="minorHAnsi"/>
        </w:rPr>
        <w:t>Norská firma Alma ohlásila v</w:t>
      </w:r>
      <w:r w:rsidR="00CF2351" w:rsidRPr="00B07D79">
        <w:rPr>
          <w:rFonts w:asciiTheme="minorHAnsi" w:hAnsiTheme="minorHAnsi"/>
        </w:rPr>
        <w:t> </w:t>
      </w:r>
      <w:r w:rsidRPr="00B07D79">
        <w:rPr>
          <w:rFonts w:asciiTheme="minorHAnsi" w:hAnsiTheme="minorHAnsi"/>
        </w:rPr>
        <w:t>létě 2023 průlomovou technologii, kdy elektřina v</w:t>
      </w:r>
      <w:r w:rsidR="00CF2351" w:rsidRPr="00B07D79">
        <w:rPr>
          <w:rFonts w:asciiTheme="minorHAnsi" w:hAnsiTheme="minorHAnsi"/>
        </w:rPr>
        <w:t> </w:t>
      </w:r>
      <w:r w:rsidRPr="00B07D79">
        <w:rPr>
          <w:rFonts w:asciiTheme="minorHAnsi" w:hAnsiTheme="minorHAnsi"/>
        </w:rPr>
        <w:t>palivovém článku není vyráběna z</w:t>
      </w:r>
      <w:r w:rsidR="00CF2351" w:rsidRPr="00B07D79">
        <w:rPr>
          <w:rFonts w:asciiTheme="minorHAnsi" w:hAnsiTheme="minorHAnsi"/>
        </w:rPr>
        <w:t> </w:t>
      </w:r>
      <w:r w:rsidRPr="00B07D79">
        <w:rPr>
          <w:rFonts w:asciiTheme="minorHAnsi" w:hAnsiTheme="minorHAnsi"/>
        </w:rPr>
        <w:t>vodíku, ale přímo z</w:t>
      </w:r>
      <w:r w:rsidR="00CF2351" w:rsidRPr="00B07D79">
        <w:rPr>
          <w:rFonts w:asciiTheme="minorHAnsi" w:hAnsiTheme="minorHAnsi"/>
        </w:rPr>
        <w:t> </w:t>
      </w:r>
      <w:r w:rsidRPr="00B07D79">
        <w:rPr>
          <w:rFonts w:asciiTheme="minorHAnsi" w:hAnsiTheme="minorHAnsi"/>
        </w:rPr>
        <w:t>čpavku, čímž dochází ke zlevnění celého technologického řetězce.</w:t>
      </w:r>
    </w:p>
    <w:p w14:paraId="1175606C" w14:textId="05F4B9E7" w:rsidR="00BF2BD1" w:rsidRPr="00B07D79" w:rsidRDefault="00BF2BD1" w:rsidP="00B07D79">
      <w:pPr>
        <w:spacing w:line="276" w:lineRule="auto"/>
        <w:jc w:val="both"/>
        <w:rPr>
          <w:rFonts w:asciiTheme="minorHAnsi" w:hAnsiTheme="minorHAnsi"/>
        </w:rPr>
      </w:pPr>
      <w:r w:rsidRPr="00B07D79">
        <w:rPr>
          <w:rFonts w:asciiTheme="minorHAnsi" w:hAnsiTheme="minorHAnsi"/>
        </w:rPr>
        <w:t>Využití „čpavkové baterie“ se tak nabízí jak pro vykrývání špiček výroby a</w:t>
      </w:r>
      <w:r w:rsidR="00CF2351" w:rsidRPr="00B07D79">
        <w:rPr>
          <w:rFonts w:asciiTheme="minorHAnsi" w:hAnsiTheme="minorHAnsi"/>
        </w:rPr>
        <w:t> </w:t>
      </w:r>
      <w:r w:rsidRPr="00B07D79">
        <w:rPr>
          <w:rFonts w:asciiTheme="minorHAnsi" w:hAnsiTheme="minorHAnsi"/>
        </w:rPr>
        <w:t>spotřeby (podobně jako přečerpávací elektrárna) tak pro dlouhodobější skladování vyrobené energie.</w:t>
      </w:r>
    </w:p>
    <w:p w14:paraId="5F00DC2F" w14:textId="77777777" w:rsidR="00BF2BD1" w:rsidRPr="00516C35" w:rsidRDefault="00BF2BD1" w:rsidP="00B07D79">
      <w:pPr>
        <w:spacing w:line="276" w:lineRule="auto"/>
        <w:jc w:val="both"/>
        <w:rPr>
          <w:rFonts w:asciiTheme="minorHAnsi" w:hAnsiTheme="minorHAnsi"/>
          <w:color w:val="385623" w:themeColor="accent6" w:themeShade="80"/>
        </w:rPr>
      </w:pPr>
      <w:r w:rsidRPr="00516C35">
        <w:rPr>
          <w:rFonts w:asciiTheme="minorHAnsi" w:hAnsiTheme="minorHAnsi"/>
          <w:color w:val="385623" w:themeColor="accent6" w:themeShade="80"/>
        </w:rPr>
        <w:t>Doprava</w:t>
      </w:r>
    </w:p>
    <w:p w14:paraId="3F0BE5D2" w14:textId="607FF435" w:rsidR="00BF2BD1" w:rsidRPr="00B07D79" w:rsidRDefault="00BF2BD1" w:rsidP="00B07D79">
      <w:pPr>
        <w:spacing w:line="276" w:lineRule="auto"/>
        <w:jc w:val="both"/>
        <w:rPr>
          <w:rFonts w:asciiTheme="minorHAnsi" w:hAnsiTheme="minorHAnsi"/>
        </w:rPr>
      </w:pPr>
      <w:r w:rsidRPr="00B07D79">
        <w:rPr>
          <w:rFonts w:asciiTheme="minorHAnsi" w:hAnsiTheme="minorHAnsi"/>
        </w:rPr>
        <w:t>Využití čpavku v</w:t>
      </w:r>
      <w:r w:rsidR="00CF2351" w:rsidRPr="00B07D79">
        <w:rPr>
          <w:rFonts w:asciiTheme="minorHAnsi" w:hAnsiTheme="minorHAnsi"/>
        </w:rPr>
        <w:t> </w:t>
      </w:r>
      <w:r w:rsidRPr="00B07D79">
        <w:rPr>
          <w:rFonts w:asciiTheme="minorHAnsi" w:hAnsiTheme="minorHAnsi"/>
        </w:rPr>
        <w:t xml:space="preserve">dopravě se ubírá dvěma cestami. </w:t>
      </w:r>
    </w:p>
    <w:p w14:paraId="467C6E99" w14:textId="0B471857" w:rsidR="00BF2BD1" w:rsidRPr="00516C35" w:rsidRDefault="00BF2BD1" w:rsidP="00516C35">
      <w:pPr>
        <w:pStyle w:val="Odstavecseseznamem"/>
        <w:numPr>
          <w:ilvl w:val="0"/>
          <w:numId w:val="156"/>
        </w:numPr>
        <w:spacing w:line="276" w:lineRule="auto"/>
        <w:jc w:val="both"/>
        <w:rPr>
          <w:rFonts w:asciiTheme="minorHAnsi" w:hAnsiTheme="minorHAnsi"/>
        </w:rPr>
      </w:pPr>
      <w:r w:rsidRPr="00516C35">
        <w:rPr>
          <w:rFonts w:asciiTheme="minorHAnsi" w:hAnsiTheme="minorHAnsi"/>
        </w:rPr>
        <w:t>Přímé spalování čpavku v</w:t>
      </w:r>
      <w:r w:rsidR="00CF2351" w:rsidRPr="00516C35">
        <w:rPr>
          <w:rFonts w:asciiTheme="minorHAnsi" w:hAnsiTheme="minorHAnsi"/>
        </w:rPr>
        <w:t> </w:t>
      </w:r>
      <w:r w:rsidRPr="00516C35">
        <w:rPr>
          <w:rFonts w:asciiTheme="minorHAnsi" w:hAnsiTheme="minorHAnsi"/>
        </w:rPr>
        <w:t>motoru s</w:t>
      </w:r>
      <w:r w:rsidR="00CF2351" w:rsidRPr="00516C35">
        <w:rPr>
          <w:rFonts w:asciiTheme="minorHAnsi" w:hAnsiTheme="minorHAnsi"/>
        </w:rPr>
        <w:t> </w:t>
      </w:r>
      <w:r w:rsidRPr="00516C35">
        <w:rPr>
          <w:rFonts w:asciiTheme="minorHAnsi" w:hAnsiTheme="minorHAnsi"/>
        </w:rPr>
        <w:t>vnitřním spalováním (ICE) navazuje na původní využití čpavku jako paliva během 2. světové války. V</w:t>
      </w:r>
      <w:r w:rsidR="00CF2351" w:rsidRPr="00516C35">
        <w:rPr>
          <w:rFonts w:asciiTheme="minorHAnsi" w:hAnsiTheme="minorHAnsi"/>
        </w:rPr>
        <w:t> </w:t>
      </w:r>
      <w:r w:rsidRPr="00516C35">
        <w:rPr>
          <w:rFonts w:asciiTheme="minorHAnsi" w:hAnsiTheme="minorHAnsi"/>
        </w:rPr>
        <w:t>roce 2008 si americká firma Caterpillar nově takový motor patentovala a</w:t>
      </w:r>
      <w:r w:rsidR="00CF2351" w:rsidRPr="00516C35">
        <w:rPr>
          <w:rFonts w:asciiTheme="minorHAnsi" w:hAnsiTheme="minorHAnsi"/>
        </w:rPr>
        <w:t> </w:t>
      </w:r>
      <w:r w:rsidRPr="00516C35">
        <w:rPr>
          <w:rFonts w:asciiTheme="minorHAnsi" w:hAnsiTheme="minorHAnsi"/>
        </w:rPr>
        <w:t>dál pracuje na jeho vývoji. S</w:t>
      </w:r>
      <w:r w:rsidR="00CF2351" w:rsidRPr="00516C35">
        <w:rPr>
          <w:rFonts w:asciiTheme="minorHAnsi" w:hAnsiTheme="minorHAnsi"/>
        </w:rPr>
        <w:t> </w:t>
      </w:r>
      <w:r w:rsidRPr="00516C35">
        <w:rPr>
          <w:rFonts w:asciiTheme="minorHAnsi" w:hAnsiTheme="minorHAnsi"/>
        </w:rPr>
        <w:t>ohledem na to, že čpavek hoří poměrně pomalu, jde o</w:t>
      </w:r>
      <w:r w:rsidR="00CF2351" w:rsidRPr="00516C35">
        <w:rPr>
          <w:rFonts w:asciiTheme="minorHAnsi" w:hAnsiTheme="minorHAnsi"/>
        </w:rPr>
        <w:t> </w:t>
      </w:r>
      <w:r w:rsidRPr="00516C35">
        <w:rPr>
          <w:rFonts w:asciiTheme="minorHAnsi" w:hAnsiTheme="minorHAnsi"/>
          <w:lang w:val="en-GB"/>
        </w:rPr>
        <w:t>dual-fuel</w:t>
      </w:r>
      <w:r w:rsidRPr="00516C35">
        <w:rPr>
          <w:rFonts w:asciiTheme="minorHAnsi" w:hAnsiTheme="minorHAnsi"/>
        </w:rPr>
        <w:t xml:space="preserve"> motor, kde druhým palivem, které kompenzuje nevýhody čpavku, je nafta nebo benzín. Podobným směrem se ubírá i</w:t>
      </w:r>
      <w:r w:rsidR="00CF2351" w:rsidRPr="00516C35">
        <w:rPr>
          <w:rFonts w:asciiTheme="minorHAnsi" w:hAnsiTheme="minorHAnsi"/>
        </w:rPr>
        <w:t> </w:t>
      </w:r>
      <w:r w:rsidRPr="00516C35">
        <w:rPr>
          <w:rFonts w:asciiTheme="minorHAnsi" w:hAnsiTheme="minorHAnsi"/>
        </w:rPr>
        <w:t>Xiamen University v</w:t>
      </w:r>
      <w:r w:rsidR="00CF2351" w:rsidRPr="00516C35">
        <w:rPr>
          <w:rFonts w:asciiTheme="minorHAnsi" w:hAnsiTheme="minorHAnsi"/>
        </w:rPr>
        <w:t> </w:t>
      </w:r>
      <w:r w:rsidRPr="00516C35">
        <w:rPr>
          <w:rFonts w:asciiTheme="minorHAnsi" w:hAnsiTheme="minorHAnsi"/>
        </w:rPr>
        <w:t xml:space="preserve">Číně, </w:t>
      </w:r>
      <w:r w:rsidRPr="00516C35">
        <w:rPr>
          <w:rFonts w:asciiTheme="minorHAnsi" w:hAnsiTheme="minorHAnsi"/>
          <w:lang w:val="en-GB"/>
        </w:rPr>
        <w:t xml:space="preserve">Korean </w:t>
      </w:r>
      <w:r w:rsidRPr="00516C35">
        <w:rPr>
          <w:rFonts w:asciiTheme="minorHAnsi" w:hAnsiTheme="minorHAnsi"/>
        </w:rPr>
        <w:t xml:space="preserve">Institute </w:t>
      </w:r>
      <w:r w:rsidRPr="00516C35">
        <w:rPr>
          <w:rFonts w:asciiTheme="minorHAnsi" w:hAnsiTheme="minorHAnsi"/>
          <w:lang w:val="en-GB"/>
        </w:rPr>
        <w:t>for Energy Research</w:t>
      </w:r>
      <w:r w:rsidRPr="00516C35">
        <w:rPr>
          <w:rFonts w:asciiTheme="minorHAnsi" w:hAnsiTheme="minorHAnsi"/>
        </w:rPr>
        <w:t>, Hydrofuel v</w:t>
      </w:r>
      <w:r w:rsidR="00CF2351" w:rsidRPr="00516C35">
        <w:rPr>
          <w:rFonts w:asciiTheme="minorHAnsi" w:hAnsiTheme="minorHAnsi"/>
        </w:rPr>
        <w:t> </w:t>
      </w:r>
      <w:r w:rsidRPr="00516C35">
        <w:rPr>
          <w:rFonts w:asciiTheme="minorHAnsi" w:hAnsiTheme="minorHAnsi"/>
        </w:rPr>
        <w:t>Kanadě nebo Iowa</w:t>
      </w:r>
      <w:r w:rsidRPr="00516C35">
        <w:rPr>
          <w:rFonts w:asciiTheme="minorHAnsi" w:hAnsiTheme="minorHAnsi"/>
          <w:lang w:val="en-GB"/>
        </w:rPr>
        <w:t xml:space="preserve"> State</w:t>
      </w:r>
      <w:r w:rsidRPr="00516C35">
        <w:rPr>
          <w:rFonts w:asciiTheme="minorHAnsi" w:hAnsiTheme="minorHAnsi"/>
        </w:rPr>
        <w:t xml:space="preserve"> University.</w:t>
      </w:r>
    </w:p>
    <w:p w14:paraId="2EABBE19" w14:textId="2F92161E" w:rsidR="00BF2BD1" w:rsidRPr="00B07D79" w:rsidRDefault="00BF2BD1" w:rsidP="003C103E">
      <w:pPr>
        <w:spacing w:line="276" w:lineRule="auto"/>
        <w:ind w:left="360"/>
        <w:jc w:val="both"/>
        <w:rPr>
          <w:rFonts w:asciiTheme="minorHAnsi" w:hAnsiTheme="minorHAnsi"/>
        </w:rPr>
      </w:pPr>
      <w:r w:rsidRPr="00B07D79">
        <w:rPr>
          <w:rFonts w:asciiTheme="minorHAnsi" w:hAnsiTheme="minorHAnsi"/>
        </w:rPr>
        <w:t>Japonská Toyota jako druhé palivo využívá přímo vodík. Výhoda je samozřejmě v</w:t>
      </w:r>
      <w:r w:rsidR="00CF2351" w:rsidRPr="00B07D79">
        <w:rPr>
          <w:rFonts w:asciiTheme="minorHAnsi" w:hAnsiTheme="minorHAnsi"/>
        </w:rPr>
        <w:t> </w:t>
      </w:r>
      <w:r w:rsidRPr="00B07D79">
        <w:rPr>
          <w:rFonts w:asciiTheme="minorHAnsi" w:hAnsiTheme="minorHAnsi"/>
        </w:rPr>
        <w:t>potřebě pouze jedné palivové nádrže ve voze (a nižší hmotnosti vozidla), protože vodík se vyrábí těsně před jeho použitím přímo ze čpavku.</w:t>
      </w:r>
    </w:p>
    <w:p w14:paraId="1592BBB1" w14:textId="746794EA" w:rsidR="00BF2BD1" w:rsidRPr="009D0E24" w:rsidRDefault="00BF2BD1" w:rsidP="00B07D79">
      <w:pPr>
        <w:pStyle w:val="Odstavecseseznamem"/>
        <w:numPr>
          <w:ilvl w:val="0"/>
          <w:numId w:val="156"/>
        </w:numPr>
        <w:spacing w:line="276" w:lineRule="auto"/>
        <w:jc w:val="both"/>
        <w:rPr>
          <w:rFonts w:asciiTheme="minorHAnsi" w:hAnsiTheme="minorHAnsi"/>
        </w:rPr>
      </w:pPr>
      <w:r w:rsidRPr="00516C35">
        <w:rPr>
          <w:rFonts w:asciiTheme="minorHAnsi" w:hAnsiTheme="minorHAnsi"/>
        </w:rPr>
        <w:t>Druhou možností je využití čpavku jako přenašeče vodíku pro palivový článek. Této variantě je nejvíce pozornosti věnováno v</w:t>
      </w:r>
      <w:r w:rsidR="00CF2351" w:rsidRPr="00516C35">
        <w:rPr>
          <w:rFonts w:asciiTheme="minorHAnsi" w:hAnsiTheme="minorHAnsi"/>
        </w:rPr>
        <w:t> </w:t>
      </w:r>
      <w:r w:rsidRPr="00516C35">
        <w:rPr>
          <w:rFonts w:asciiTheme="minorHAnsi" w:hAnsiTheme="minorHAnsi"/>
        </w:rPr>
        <w:t>Japonsku. Toyota představila plán na vybudování vodíkové ekonomiky v</w:t>
      </w:r>
      <w:r w:rsidR="00CF2351" w:rsidRPr="00516C35">
        <w:rPr>
          <w:rFonts w:asciiTheme="minorHAnsi" w:hAnsiTheme="minorHAnsi"/>
        </w:rPr>
        <w:t> </w:t>
      </w:r>
      <w:r w:rsidRPr="00516C35">
        <w:rPr>
          <w:rFonts w:asciiTheme="minorHAnsi" w:hAnsiTheme="minorHAnsi"/>
        </w:rPr>
        <w:t>regionu, kde je její hlavní sídlo. Součástí plánu je i</w:t>
      </w:r>
      <w:r w:rsidR="00CF2351" w:rsidRPr="00516C35">
        <w:rPr>
          <w:rFonts w:asciiTheme="minorHAnsi" w:hAnsiTheme="minorHAnsi"/>
        </w:rPr>
        <w:t> </w:t>
      </w:r>
      <w:r w:rsidRPr="00516C35">
        <w:rPr>
          <w:rFonts w:asciiTheme="minorHAnsi" w:hAnsiTheme="minorHAnsi"/>
        </w:rPr>
        <w:t>nasazení amoniaku jako</w:t>
      </w:r>
      <w:r w:rsidR="00422864" w:rsidRPr="00516C35">
        <w:rPr>
          <w:rFonts w:asciiTheme="minorHAnsi" w:hAnsiTheme="minorHAnsi"/>
        </w:rPr>
        <w:t> </w:t>
      </w:r>
      <w:r w:rsidRPr="00516C35">
        <w:rPr>
          <w:rFonts w:asciiTheme="minorHAnsi" w:hAnsiTheme="minorHAnsi"/>
        </w:rPr>
        <w:t>přenašeče vodíku pro palivové články jak v</w:t>
      </w:r>
      <w:r w:rsidR="00CF2351" w:rsidRPr="00516C35">
        <w:rPr>
          <w:rFonts w:asciiTheme="minorHAnsi" w:hAnsiTheme="minorHAnsi"/>
        </w:rPr>
        <w:t> </w:t>
      </w:r>
      <w:r w:rsidRPr="00516C35">
        <w:rPr>
          <w:rFonts w:asciiTheme="minorHAnsi" w:hAnsiTheme="minorHAnsi"/>
        </w:rPr>
        <w:t xml:space="preserve">dopravě, tak při energetickém zásobování domácností. Australská </w:t>
      </w:r>
      <w:r w:rsidRPr="00516C35">
        <w:rPr>
          <w:rFonts w:asciiTheme="minorHAnsi" w:hAnsiTheme="minorHAnsi"/>
          <w:lang w:val="en-GB"/>
        </w:rPr>
        <w:t xml:space="preserve">Commonwealth Scientific and Industrial Research Organisation </w:t>
      </w:r>
      <w:r w:rsidRPr="00516C35">
        <w:rPr>
          <w:rFonts w:asciiTheme="minorHAnsi" w:hAnsiTheme="minorHAnsi"/>
        </w:rPr>
        <w:t>naopak testuje vodíkovou čerpací stanici, na kterou je vodík dodáván v</w:t>
      </w:r>
      <w:r w:rsidR="00CF2351" w:rsidRPr="00516C35">
        <w:rPr>
          <w:rFonts w:asciiTheme="minorHAnsi" w:hAnsiTheme="minorHAnsi"/>
        </w:rPr>
        <w:t> </w:t>
      </w:r>
      <w:r w:rsidRPr="00516C35">
        <w:rPr>
          <w:rFonts w:asciiTheme="minorHAnsi" w:hAnsiTheme="minorHAnsi"/>
        </w:rPr>
        <w:t>podobě čpavku a</w:t>
      </w:r>
      <w:r w:rsidR="00CF2351" w:rsidRPr="00516C35">
        <w:rPr>
          <w:rFonts w:asciiTheme="minorHAnsi" w:hAnsiTheme="minorHAnsi"/>
        </w:rPr>
        <w:t> </w:t>
      </w:r>
      <w:r w:rsidRPr="00516C35">
        <w:rPr>
          <w:rFonts w:asciiTheme="minorHAnsi" w:hAnsiTheme="minorHAnsi"/>
        </w:rPr>
        <w:t>k jeho konverzi dochází až při tankování vozidla. Výhodou tohoto procesu je úspora nákladů na distribuci a</w:t>
      </w:r>
      <w:r w:rsidR="00CF2351" w:rsidRPr="00516C35">
        <w:rPr>
          <w:rFonts w:asciiTheme="minorHAnsi" w:hAnsiTheme="minorHAnsi"/>
        </w:rPr>
        <w:t> </w:t>
      </w:r>
      <w:r w:rsidRPr="00516C35">
        <w:rPr>
          <w:rFonts w:asciiTheme="minorHAnsi" w:hAnsiTheme="minorHAnsi"/>
        </w:rPr>
        <w:t>skladování vodíku na jedné straně a</w:t>
      </w:r>
      <w:r w:rsidR="00CF2351" w:rsidRPr="00516C35">
        <w:rPr>
          <w:rFonts w:asciiTheme="minorHAnsi" w:hAnsiTheme="minorHAnsi"/>
        </w:rPr>
        <w:t> </w:t>
      </w:r>
      <w:r w:rsidRPr="00516C35">
        <w:rPr>
          <w:rFonts w:asciiTheme="minorHAnsi" w:hAnsiTheme="minorHAnsi"/>
        </w:rPr>
        <w:t>využití „klasického“ vodíkového vozu na</w:t>
      </w:r>
      <w:r w:rsidR="00422864" w:rsidRPr="00516C35">
        <w:rPr>
          <w:rFonts w:asciiTheme="minorHAnsi" w:hAnsiTheme="minorHAnsi"/>
        </w:rPr>
        <w:t> </w:t>
      </w:r>
      <w:r w:rsidRPr="00516C35">
        <w:rPr>
          <w:rFonts w:asciiTheme="minorHAnsi" w:hAnsiTheme="minorHAnsi"/>
        </w:rPr>
        <w:t>straně druhé</w:t>
      </w:r>
      <w:r w:rsidR="003050D0">
        <w:rPr>
          <w:rFonts w:asciiTheme="minorHAnsi" w:hAnsiTheme="minorHAnsi"/>
        </w:rPr>
        <w:t>.</w:t>
      </w:r>
      <w:r w:rsidRPr="009D0E24">
        <w:rPr>
          <w:rFonts w:asciiTheme="minorHAnsi" w:hAnsiTheme="minorHAnsi"/>
        </w:rPr>
        <w:br w:type="page"/>
      </w:r>
    </w:p>
    <w:p w14:paraId="39372089" w14:textId="1F1E3B50" w:rsidR="00BF2BD1" w:rsidRPr="003C103E" w:rsidRDefault="00BF2BD1" w:rsidP="00B07D79">
      <w:pPr>
        <w:spacing w:line="276" w:lineRule="auto"/>
        <w:jc w:val="both"/>
        <w:rPr>
          <w:rFonts w:asciiTheme="minorHAnsi" w:hAnsiTheme="minorHAnsi"/>
          <w:color w:val="385623" w:themeColor="accent6" w:themeShade="80"/>
        </w:rPr>
      </w:pPr>
      <w:r w:rsidRPr="003C103E">
        <w:rPr>
          <w:rFonts w:asciiTheme="minorHAnsi" w:hAnsiTheme="minorHAnsi"/>
          <w:color w:val="385623" w:themeColor="accent6" w:themeShade="80"/>
        </w:rPr>
        <w:lastRenderedPageBreak/>
        <w:t>Výhody a</w:t>
      </w:r>
      <w:r w:rsidR="00CF2351" w:rsidRPr="003C103E">
        <w:rPr>
          <w:rFonts w:asciiTheme="minorHAnsi" w:hAnsiTheme="minorHAnsi"/>
          <w:color w:val="385623" w:themeColor="accent6" w:themeShade="80"/>
        </w:rPr>
        <w:t> </w:t>
      </w:r>
      <w:r w:rsidRPr="003C103E">
        <w:rPr>
          <w:rFonts w:asciiTheme="minorHAnsi" w:hAnsiTheme="minorHAnsi"/>
          <w:color w:val="385623" w:themeColor="accent6" w:themeShade="80"/>
        </w:rPr>
        <w:t>nevýhody</w:t>
      </w:r>
    </w:p>
    <w:p w14:paraId="3A489820" w14:textId="66271BB1" w:rsidR="00BF2BD1" w:rsidRPr="00B07D79" w:rsidRDefault="00BF2BD1" w:rsidP="00B07D79">
      <w:pPr>
        <w:spacing w:line="276" w:lineRule="auto"/>
        <w:jc w:val="both"/>
        <w:rPr>
          <w:rFonts w:asciiTheme="minorHAnsi" w:hAnsiTheme="minorHAnsi"/>
        </w:rPr>
      </w:pPr>
      <w:r w:rsidRPr="00B07D79">
        <w:rPr>
          <w:rFonts w:asciiTheme="minorHAnsi" w:hAnsiTheme="minorHAnsi"/>
        </w:rPr>
        <w:t>Ve srovnání s</w:t>
      </w:r>
      <w:r w:rsidR="00CF2351" w:rsidRPr="00B07D79">
        <w:rPr>
          <w:rFonts w:asciiTheme="minorHAnsi" w:hAnsiTheme="minorHAnsi"/>
        </w:rPr>
        <w:t> </w:t>
      </w:r>
      <w:r w:rsidRPr="00B07D79">
        <w:rPr>
          <w:rFonts w:asciiTheme="minorHAnsi" w:hAnsiTheme="minorHAnsi"/>
        </w:rPr>
        <w:t>přímým využitím elektrické energie je účinnost čpavkových technologií samozřejmě nižší. Oproti distribuci rozvodnou sítí totiž přibývá náklad na syntézu čpavku a</w:t>
      </w:r>
      <w:r w:rsidR="00CF2351" w:rsidRPr="00B07D79">
        <w:rPr>
          <w:rFonts w:asciiTheme="minorHAnsi" w:hAnsiTheme="minorHAnsi"/>
        </w:rPr>
        <w:t> </w:t>
      </w:r>
      <w:r w:rsidRPr="00B07D79">
        <w:rPr>
          <w:rFonts w:asciiTheme="minorHAnsi" w:hAnsiTheme="minorHAnsi"/>
        </w:rPr>
        <w:t>ve</w:t>
      </w:r>
      <w:r w:rsidR="00422864" w:rsidRPr="00B07D79">
        <w:rPr>
          <w:rFonts w:asciiTheme="minorHAnsi" w:hAnsiTheme="minorHAnsi"/>
        </w:rPr>
        <w:t> </w:t>
      </w:r>
      <w:r w:rsidRPr="00B07D79">
        <w:rPr>
          <w:rFonts w:asciiTheme="minorHAnsi" w:hAnsiTheme="minorHAnsi"/>
        </w:rPr>
        <w:t>voze před využitím v</w:t>
      </w:r>
      <w:r w:rsidR="00CF2351" w:rsidRPr="00B07D79">
        <w:rPr>
          <w:rFonts w:asciiTheme="minorHAnsi" w:hAnsiTheme="minorHAnsi"/>
        </w:rPr>
        <w:t> </w:t>
      </w:r>
      <w:r w:rsidRPr="00B07D79">
        <w:rPr>
          <w:rFonts w:asciiTheme="minorHAnsi" w:hAnsiTheme="minorHAnsi"/>
        </w:rPr>
        <w:t>palivovém článku musí naopak dojít jeho rozkladu. Ve srovnání s</w:t>
      </w:r>
      <w:r w:rsidR="00CF2351" w:rsidRPr="00B07D79">
        <w:rPr>
          <w:rFonts w:asciiTheme="minorHAnsi" w:hAnsiTheme="minorHAnsi"/>
        </w:rPr>
        <w:t> </w:t>
      </w:r>
      <w:r w:rsidRPr="00B07D79">
        <w:rPr>
          <w:rFonts w:asciiTheme="minorHAnsi" w:hAnsiTheme="minorHAnsi"/>
        </w:rPr>
        <w:t>vodíkovými technologiemi také v</w:t>
      </w:r>
      <w:r w:rsidR="00CF2351" w:rsidRPr="00B07D79">
        <w:rPr>
          <w:rFonts w:asciiTheme="minorHAnsi" w:hAnsiTheme="minorHAnsi"/>
        </w:rPr>
        <w:t> </w:t>
      </w:r>
      <w:r w:rsidRPr="00B07D79">
        <w:rPr>
          <w:rFonts w:asciiTheme="minorHAnsi" w:hAnsiTheme="minorHAnsi"/>
        </w:rPr>
        <w:t>účinnosti mírně zaostává, ale – již nyní je k</w:t>
      </w:r>
      <w:r w:rsidR="00CF2351" w:rsidRPr="00B07D79">
        <w:rPr>
          <w:rFonts w:asciiTheme="minorHAnsi" w:hAnsiTheme="minorHAnsi"/>
        </w:rPr>
        <w:t> </w:t>
      </w:r>
      <w:r w:rsidRPr="00B07D79">
        <w:rPr>
          <w:rFonts w:asciiTheme="minorHAnsi" w:hAnsiTheme="minorHAnsi"/>
        </w:rPr>
        <w:t>dispozici jednoduchá výrobní metoda, čpavek umíme snadno přepravovat, skladovat i</w:t>
      </w:r>
      <w:r w:rsidR="00CF2351" w:rsidRPr="00B07D79">
        <w:rPr>
          <w:rFonts w:asciiTheme="minorHAnsi" w:hAnsiTheme="minorHAnsi"/>
        </w:rPr>
        <w:t> </w:t>
      </w:r>
      <w:r w:rsidRPr="00B07D79">
        <w:rPr>
          <w:rFonts w:asciiTheme="minorHAnsi" w:hAnsiTheme="minorHAnsi"/>
        </w:rPr>
        <w:t>plnit do vozů, přičemž obsah energie na jednotku objemu je asi o</w:t>
      </w:r>
      <w:r w:rsidR="00CF2351" w:rsidRPr="00B07D79">
        <w:rPr>
          <w:rFonts w:asciiTheme="minorHAnsi" w:hAnsiTheme="minorHAnsi"/>
        </w:rPr>
        <w:t> </w:t>
      </w:r>
      <w:r w:rsidRPr="00B07D79">
        <w:rPr>
          <w:rFonts w:asciiTheme="minorHAnsi" w:hAnsiTheme="minorHAnsi"/>
        </w:rPr>
        <w:t>50</w:t>
      </w:r>
      <w:r w:rsidR="00FE1E3C" w:rsidRPr="00B07D79">
        <w:rPr>
          <w:rFonts w:asciiTheme="minorHAnsi" w:hAnsiTheme="minorHAnsi"/>
        </w:rPr>
        <w:t xml:space="preserve"> </w:t>
      </w:r>
      <w:r w:rsidRPr="00B07D79">
        <w:rPr>
          <w:rFonts w:asciiTheme="minorHAnsi" w:hAnsiTheme="minorHAnsi"/>
        </w:rPr>
        <w:t xml:space="preserve">% </w:t>
      </w:r>
      <w:r w:rsidR="003050D0" w:rsidRPr="00B07D79">
        <w:rPr>
          <w:rFonts w:asciiTheme="minorHAnsi" w:hAnsiTheme="minorHAnsi"/>
        </w:rPr>
        <w:t>vyšší</w:t>
      </w:r>
      <w:r w:rsidRPr="00B07D79">
        <w:rPr>
          <w:rFonts w:asciiTheme="minorHAnsi" w:hAnsiTheme="minorHAnsi"/>
        </w:rPr>
        <w:t xml:space="preserve"> než u</w:t>
      </w:r>
      <w:r w:rsidR="00CF2351" w:rsidRPr="00B07D79">
        <w:rPr>
          <w:rFonts w:asciiTheme="minorHAnsi" w:hAnsiTheme="minorHAnsi"/>
        </w:rPr>
        <w:t> </w:t>
      </w:r>
      <w:r w:rsidRPr="00B07D79">
        <w:rPr>
          <w:rFonts w:asciiTheme="minorHAnsi" w:hAnsiTheme="minorHAnsi"/>
        </w:rPr>
        <w:t>vodíku.</w:t>
      </w:r>
    </w:p>
    <w:p w14:paraId="0E00DD51" w14:textId="6A403027" w:rsidR="00BF2BD1" w:rsidRPr="003C103E" w:rsidRDefault="00BF2BD1" w:rsidP="00B07D79">
      <w:pPr>
        <w:pStyle w:val="Titulek"/>
        <w:spacing w:before="120" w:after="120" w:line="276" w:lineRule="auto"/>
        <w:jc w:val="both"/>
        <w:rPr>
          <w:rFonts w:asciiTheme="minorHAnsi" w:hAnsiTheme="minorHAnsi"/>
          <w:b w:val="0"/>
          <w:bCs w:val="0"/>
          <w:color w:val="385623" w:themeColor="accent6" w:themeShade="80"/>
        </w:rPr>
      </w:pPr>
      <w:r w:rsidRPr="003C103E">
        <w:rPr>
          <w:rFonts w:asciiTheme="minorHAnsi" w:hAnsiTheme="minorHAnsi"/>
          <w:b w:val="0"/>
          <w:bCs w:val="0"/>
          <w:color w:val="385623" w:themeColor="accent6" w:themeShade="80"/>
        </w:rPr>
        <w:t xml:space="preserve">Tabulka </w:t>
      </w:r>
      <w:r w:rsidR="003D774B" w:rsidRPr="003C103E">
        <w:rPr>
          <w:rFonts w:asciiTheme="minorHAnsi" w:hAnsiTheme="minorHAnsi"/>
          <w:b w:val="0"/>
          <w:bCs w:val="0"/>
          <w:color w:val="385623" w:themeColor="accent6" w:themeShade="80"/>
        </w:rPr>
        <w:fldChar w:fldCharType="begin"/>
      </w:r>
      <w:r w:rsidR="003D774B" w:rsidRPr="003C103E">
        <w:rPr>
          <w:rFonts w:asciiTheme="minorHAnsi" w:hAnsiTheme="minorHAnsi"/>
          <w:b w:val="0"/>
          <w:bCs w:val="0"/>
          <w:color w:val="385623" w:themeColor="accent6" w:themeShade="80"/>
        </w:rPr>
        <w:instrText xml:space="preserve"> SEQ Tabulka \* ARABIC </w:instrText>
      </w:r>
      <w:r w:rsidR="003D774B" w:rsidRPr="003C103E">
        <w:rPr>
          <w:rFonts w:asciiTheme="minorHAnsi" w:hAnsiTheme="minorHAnsi"/>
          <w:b w:val="0"/>
          <w:bCs w:val="0"/>
          <w:color w:val="385623" w:themeColor="accent6" w:themeShade="80"/>
        </w:rPr>
        <w:fldChar w:fldCharType="separate"/>
      </w:r>
      <w:r w:rsidR="00D61B36" w:rsidRPr="003C103E">
        <w:rPr>
          <w:rFonts w:asciiTheme="minorHAnsi" w:hAnsiTheme="minorHAnsi"/>
          <w:b w:val="0"/>
          <w:bCs w:val="0"/>
          <w:noProof/>
          <w:color w:val="385623" w:themeColor="accent6" w:themeShade="80"/>
        </w:rPr>
        <w:t>14</w:t>
      </w:r>
      <w:r w:rsidR="003D774B" w:rsidRPr="003C103E">
        <w:rPr>
          <w:rFonts w:asciiTheme="minorHAnsi" w:hAnsiTheme="minorHAnsi"/>
          <w:b w:val="0"/>
          <w:bCs w:val="0"/>
          <w:noProof/>
          <w:color w:val="385623" w:themeColor="accent6" w:themeShade="80"/>
        </w:rPr>
        <w:fldChar w:fldCharType="end"/>
      </w:r>
      <w:r w:rsidR="00506814" w:rsidRPr="003C103E">
        <w:rPr>
          <w:rFonts w:asciiTheme="minorHAnsi" w:hAnsiTheme="minorHAnsi"/>
          <w:b w:val="0"/>
          <w:bCs w:val="0"/>
          <w:color w:val="385623" w:themeColor="accent6" w:themeShade="80"/>
        </w:rPr>
        <w:t xml:space="preserve"> </w:t>
      </w:r>
      <w:r w:rsidRPr="003C103E">
        <w:rPr>
          <w:rFonts w:asciiTheme="minorHAnsi" w:hAnsiTheme="minorHAnsi"/>
          <w:b w:val="0"/>
          <w:bCs w:val="0"/>
          <w:color w:val="385623" w:themeColor="accent6" w:themeShade="80"/>
        </w:rPr>
        <w:t>Základní přehled vybraných charakteristik H</w:t>
      </w:r>
      <w:r w:rsidRPr="003C103E">
        <w:rPr>
          <w:rFonts w:asciiTheme="minorHAnsi" w:hAnsiTheme="minorHAnsi"/>
          <w:b w:val="0"/>
          <w:bCs w:val="0"/>
          <w:color w:val="385623" w:themeColor="accent6" w:themeShade="80"/>
          <w:vertAlign w:val="subscript"/>
        </w:rPr>
        <w:t>2</w:t>
      </w:r>
      <w:r w:rsidRPr="003C103E">
        <w:rPr>
          <w:rFonts w:asciiTheme="minorHAnsi" w:hAnsiTheme="minorHAnsi"/>
          <w:b w:val="0"/>
          <w:bCs w:val="0"/>
          <w:color w:val="385623" w:themeColor="accent6" w:themeShade="80"/>
        </w:rPr>
        <w:t>, NH</w:t>
      </w:r>
      <w:r w:rsidRPr="003C103E">
        <w:rPr>
          <w:rFonts w:asciiTheme="minorHAnsi" w:hAnsiTheme="minorHAnsi"/>
          <w:b w:val="0"/>
          <w:bCs w:val="0"/>
          <w:color w:val="385623" w:themeColor="accent6" w:themeShade="80"/>
          <w:vertAlign w:val="subscript"/>
        </w:rPr>
        <w:t>3</w:t>
      </w:r>
      <w:r w:rsidRPr="003C103E">
        <w:rPr>
          <w:rFonts w:asciiTheme="minorHAnsi" w:hAnsiTheme="minorHAnsi"/>
          <w:b w:val="0"/>
          <w:bCs w:val="0"/>
          <w:color w:val="385623" w:themeColor="accent6" w:themeShade="80"/>
        </w:rPr>
        <w:t>, CH</w:t>
      </w:r>
      <w:r w:rsidRPr="003C103E">
        <w:rPr>
          <w:rFonts w:asciiTheme="minorHAnsi" w:hAnsiTheme="minorHAnsi"/>
          <w:b w:val="0"/>
          <w:bCs w:val="0"/>
          <w:color w:val="385623" w:themeColor="accent6" w:themeShade="80"/>
          <w:vertAlign w:val="subscript"/>
        </w:rPr>
        <w:t>4</w:t>
      </w:r>
    </w:p>
    <w:tbl>
      <w:tblPr>
        <w:tblStyle w:val="Mkatabulky"/>
        <w:tblW w:w="907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118"/>
        <w:gridCol w:w="1984"/>
        <w:gridCol w:w="1984"/>
        <w:gridCol w:w="1984"/>
      </w:tblGrid>
      <w:tr w:rsidR="00E079AF" w:rsidRPr="00B07D79" w14:paraId="73FE5255" w14:textId="77777777" w:rsidTr="003C103E">
        <w:tc>
          <w:tcPr>
            <w:tcW w:w="3118" w:type="dxa"/>
            <w:shd w:val="clear" w:color="auto" w:fill="70AD47" w:themeFill="accent6"/>
          </w:tcPr>
          <w:p w14:paraId="1F74CA77" w14:textId="77777777" w:rsidR="00E079AF" w:rsidRPr="00B07D79" w:rsidRDefault="00E079AF" w:rsidP="00B07D79">
            <w:pPr>
              <w:spacing w:line="276" w:lineRule="auto"/>
              <w:jc w:val="both"/>
              <w:rPr>
                <w:rFonts w:asciiTheme="minorHAnsi" w:hAnsiTheme="minorHAnsi"/>
                <w:color w:val="FFFFFF" w:themeColor="background1"/>
              </w:rPr>
            </w:pPr>
          </w:p>
        </w:tc>
        <w:tc>
          <w:tcPr>
            <w:tcW w:w="1984" w:type="dxa"/>
            <w:shd w:val="clear" w:color="auto" w:fill="70AD47" w:themeFill="accent6"/>
            <w:vAlign w:val="center"/>
          </w:tcPr>
          <w:p w14:paraId="5E8805C1" w14:textId="77777777" w:rsidR="00E079AF" w:rsidRPr="00B07D79" w:rsidRDefault="00E079AF" w:rsidP="00B07D79">
            <w:pPr>
              <w:spacing w:line="276" w:lineRule="auto"/>
              <w:jc w:val="both"/>
              <w:rPr>
                <w:rFonts w:asciiTheme="minorHAnsi" w:hAnsiTheme="minorHAnsi"/>
                <w:color w:val="FFFFFF" w:themeColor="background1"/>
              </w:rPr>
            </w:pPr>
            <w:r w:rsidRPr="00B07D79">
              <w:rPr>
                <w:rFonts w:asciiTheme="minorHAnsi" w:hAnsiTheme="minorHAnsi"/>
                <w:color w:val="FFFFFF" w:themeColor="background1"/>
              </w:rPr>
              <w:t>Zkapalněný vodík (H</w:t>
            </w:r>
            <w:r w:rsidRPr="00B07D79">
              <w:rPr>
                <w:rFonts w:asciiTheme="minorHAnsi" w:hAnsiTheme="minorHAnsi"/>
                <w:color w:val="FFFFFF" w:themeColor="background1"/>
                <w:vertAlign w:val="subscript"/>
              </w:rPr>
              <w:t>2</w:t>
            </w:r>
            <w:r w:rsidRPr="00B07D79">
              <w:rPr>
                <w:rFonts w:asciiTheme="minorHAnsi" w:hAnsiTheme="minorHAnsi"/>
                <w:color w:val="FFFFFF" w:themeColor="background1"/>
              </w:rPr>
              <w:t>)</w:t>
            </w:r>
          </w:p>
        </w:tc>
        <w:tc>
          <w:tcPr>
            <w:tcW w:w="1984" w:type="dxa"/>
            <w:shd w:val="clear" w:color="auto" w:fill="70AD47" w:themeFill="accent6"/>
            <w:vAlign w:val="center"/>
          </w:tcPr>
          <w:p w14:paraId="2351A4BE" w14:textId="77777777" w:rsidR="00E079AF" w:rsidRPr="00B07D79" w:rsidRDefault="00E079AF" w:rsidP="00B07D79">
            <w:pPr>
              <w:spacing w:line="276" w:lineRule="auto"/>
              <w:jc w:val="both"/>
              <w:rPr>
                <w:rFonts w:asciiTheme="minorHAnsi" w:hAnsiTheme="minorHAnsi"/>
                <w:color w:val="FFFFFF" w:themeColor="background1"/>
              </w:rPr>
            </w:pPr>
            <w:r w:rsidRPr="00B07D79">
              <w:rPr>
                <w:rFonts w:asciiTheme="minorHAnsi" w:hAnsiTheme="minorHAnsi"/>
                <w:color w:val="FFFFFF" w:themeColor="background1"/>
              </w:rPr>
              <w:t>Amoniak (NH</w:t>
            </w:r>
            <w:r w:rsidRPr="00B07D79">
              <w:rPr>
                <w:rFonts w:asciiTheme="minorHAnsi" w:hAnsiTheme="minorHAnsi"/>
                <w:color w:val="FFFFFF" w:themeColor="background1"/>
                <w:vertAlign w:val="subscript"/>
              </w:rPr>
              <w:t>3</w:t>
            </w:r>
            <w:r w:rsidRPr="00B07D79">
              <w:rPr>
                <w:rFonts w:asciiTheme="minorHAnsi" w:hAnsiTheme="minorHAnsi"/>
                <w:color w:val="FFFFFF" w:themeColor="background1"/>
              </w:rPr>
              <w:t>)</w:t>
            </w:r>
          </w:p>
        </w:tc>
        <w:tc>
          <w:tcPr>
            <w:tcW w:w="1984" w:type="dxa"/>
            <w:shd w:val="clear" w:color="auto" w:fill="70AD47" w:themeFill="accent6"/>
            <w:vAlign w:val="center"/>
          </w:tcPr>
          <w:p w14:paraId="0E29C885" w14:textId="77777777" w:rsidR="00E079AF" w:rsidRPr="00B07D79" w:rsidRDefault="00E079AF" w:rsidP="00B07D79">
            <w:pPr>
              <w:spacing w:line="276" w:lineRule="auto"/>
              <w:jc w:val="both"/>
              <w:rPr>
                <w:rFonts w:asciiTheme="minorHAnsi" w:hAnsiTheme="minorHAnsi"/>
                <w:color w:val="FFFFFF" w:themeColor="background1"/>
              </w:rPr>
            </w:pPr>
            <w:r w:rsidRPr="00B07D79">
              <w:rPr>
                <w:rFonts w:asciiTheme="minorHAnsi" w:hAnsiTheme="minorHAnsi"/>
                <w:color w:val="FFFFFF" w:themeColor="background1"/>
              </w:rPr>
              <w:t>Zkapalněný metan (LNG) (CH</w:t>
            </w:r>
            <w:r w:rsidRPr="00B07D79">
              <w:rPr>
                <w:rFonts w:asciiTheme="minorHAnsi" w:hAnsiTheme="minorHAnsi"/>
                <w:color w:val="FFFFFF" w:themeColor="background1"/>
                <w:vertAlign w:val="subscript"/>
              </w:rPr>
              <w:t>4</w:t>
            </w:r>
            <w:r w:rsidRPr="00B07D79">
              <w:rPr>
                <w:rFonts w:asciiTheme="minorHAnsi" w:hAnsiTheme="minorHAnsi"/>
                <w:color w:val="FFFFFF" w:themeColor="background1"/>
              </w:rPr>
              <w:t>)</w:t>
            </w:r>
          </w:p>
        </w:tc>
      </w:tr>
      <w:tr w:rsidR="00E079AF" w:rsidRPr="00B07D79" w14:paraId="5CC18F29" w14:textId="77777777" w:rsidTr="003C103E">
        <w:tc>
          <w:tcPr>
            <w:tcW w:w="3118" w:type="dxa"/>
            <w:shd w:val="clear" w:color="auto" w:fill="A8D08D" w:themeFill="accent6" w:themeFillTint="99"/>
          </w:tcPr>
          <w:p w14:paraId="7EA973AC"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Bod varu (°C)</w:t>
            </w:r>
          </w:p>
        </w:tc>
        <w:tc>
          <w:tcPr>
            <w:tcW w:w="1984" w:type="dxa"/>
            <w:shd w:val="clear" w:color="auto" w:fill="A8D08D" w:themeFill="accent6" w:themeFillTint="99"/>
          </w:tcPr>
          <w:p w14:paraId="45C783CC"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-253</w:t>
            </w:r>
          </w:p>
        </w:tc>
        <w:tc>
          <w:tcPr>
            <w:tcW w:w="1984" w:type="dxa"/>
            <w:shd w:val="clear" w:color="auto" w:fill="A8D08D" w:themeFill="accent6" w:themeFillTint="99"/>
          </w:tcPr>
          <w:p w14:paraId="1217FBC2"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-33</w:t>
            </w:r>
          </w:p>
        </w:tc>
        <w:tc>
          <w:tcPr>
            <w:tcW w:w="1984" w:type="dxa"/>
            <w:shd w:val="clear" w:color="auto" w:fill="A8D08D" w:themeFill="accent6" w:themeFillTint="99"/>
          </w:tcPr>
          <w:p w14:paraId="3D22025D"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-162</w:t>
            </w:r>
          </w:p>
        </w:tc>
      </w:tr>
      <w:tr w:rsidR="00E079AF" w:rsidRPr="00B07D79" w14:paraId="7D708FB8" w14:textId="77777777" w:rsidTr="003C103E">
        <w:tc>
          <w:tcPr>
            <w:tcW w:w="3118" w:type="dxa"/>
            <w:shd w:val="clear" w:color="auto" w:fill="A8D08D" w:themeFill="accent6" w:themeFillTint="99"/>
          </w:tcPr>
          <w:p w14:paraId="089E0EE2"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Hustota energie (</w:t>
            </w:r>
            <w:proofErr w:type="spellStart"/>
            <w:r w:rsidRPr="00B07D79">
              <w:rPr>
                <w:rFonts w:asciiTheme="minorHAnsi" w:hAnsiTheme="minorHAnsi"/>
              </w:rPr>
              <w:t>MJe</w:t>
            </w:r>
            <w:proofErr w:type="spellEnd"/>
            <w:r w:rsidRPr="00B07D79">
              <w:rPr>
                <w:rFonts w:asciiTheme="minorHAnsi" w:hAnsiTheme="minorHAnsi"/>
              </w:rPr>
              <w:t>/m3)</w:t>
            </w:r>
          </w:p>
        </w:tc>
        <w:tc>
          <w:tcPr>
            <w:tcW w:w="1984" w:type="dxa"/>
            <w:shd w:val="clear" w:color="auto" w:fill="A8D08D" w:themeFill="accent6" w:themeFillTint="99"/>
          </w:tcPr>
          <w:p w14:paraId="32ADB8A9"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4.800</w:t>
            </w:r>
          </w:p>
        </w:tc>
        <w:tc>
          <w:tcPr>
            <w:tcW w:w="1984" w:type="dxa"/>
            <w:shd w:val="clear" w:color="auto" w:fill="A8D08D" w:themeFill="accent6" w:themeFillTint="99"/>
          </w:tcPr>
          <w:p w14:paraId="4D920CF3"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6.800</w:t>
            </w:r>
          </w:p>
        </w:tc>
        <w:tc>
          <w:tcPr>
            <w:tcW w:w="1984" w:type="dxa"/>
            <w:shd w:val="clear" w:color="auto" w:fill="A8D08D" w:themeFill="accent6" w:themeFillTint="99"/>
          </w:tcPr>
          <w:p w14:paraId="7707B325"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11.400</w:t>
            </w:r>
          </w:p>
        </w:tc>
      </w:tr>
      <w:tr w:rsidR="00E079AF" w:rsidRPr="00B07D79" w14:paraId="3723029C" w14:textId="77777777" w:rsidTr="003C103E">
        <w:tc>
          <w:tcPr>
            <w:tcW w:w="3118" w:type="dxa"/>
            <w:shd w:val="clear" w:color="auto" w:fill="A8D08D" w:themeFill="accent6" w:themeFillTint="99"/>
          </w:tcPr>
          <w:p w14:paraId="62467AA8"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Ztráta při skladování (%/6 měsíců)</w:t>
            </w:r>
          </w:p>
        </w:tc>
        <w:tc>
          <w:tcPr>
            <w:tcW w:w="1984" w:type="dxa"/>
            <w:shd w:val="clear" w:color="auto" w:fill="A8D08D" w:themeFill="accent6" w:themeFillTint="99"/>
          </w:tcPr>
          <w:p w14:paraId="44DC5FC4"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5,5</w:t>
            </w:r>
          </w:p>
        </w:tc>
        <w:tc>
          <w:tcPr>
            <w:tcW w:w="1984" w:type="dxa"/>
            <w:shd w:val="clear" w:color="auto" w:fill="A8D08D" w:themeFill="accent6" w:themeFillTint="99"/>
          </w:tcPr>
          <w:p w14:paraId="5552A8C9"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0,6</w:t>
            </w:r>
          </w:p>
        </w:tc>
        <w:tc>
          <w:tcPr>
            <w:tcW w:w="1984" w:type="dxa"/>
            <w:shd w:val="clear" w:color="auto" w:fill="A8D08D" w:themeFill="accent6" w:themeFillTint="99"/>
          </w:tcPr>
          <w:p w14:paraId="5F2204E7"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3,0</w:t>
            </w:r>
          </w:p>
        </w:tc>
      </w:tr>
      <w:tr w:rsidR="00E079AF" w:rsidRPr="00B07D79" w14:paraId="4F8745F1" w14:textId="77777777" w:rsidTr="003C103E">
        <w:tc>
          <w:tcPr>
            <w:tcW w:w="3118" w:type="dxa"/>
            <w:shd w:val="clear" w:color="auto" w:fill="A8D08D" w:themeFill="accent6" w:themeFillTint="99"/>
          </w:tcPr>
          <w:p w14:paraId="5527FBB4"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P2P účinnost (%)</w:t>
            </w:r>
          </w:p>
        </w:tc>
        <w:tc>
          <w:tcPr>
            <w:tcW w:w="1984" w:type="dxa"/>
            <w:shd w:val="clear" w:color="auto" w:fill="A8D08D" w:themeFill="accent6" w:themeFillTint="99"/>
          </w:tcPr>
          <w:p w14:paraId="79F00AD8"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34</w:t>
            </w:r>
          </w:p>
        </w:tc>
        <w:tc>
          <w:tcPr>
            <w:tcW w:w="1984" w:type="dxa"/>
            <w:shd w:val="clear" w:color="auto" w:fill="A8D08D" w:themeFill="accent6" w:themeFillTint="99"/>
          </w:tcPr>
          <w:p w14:paraId="08DCF43D"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30 až 39</w:t>
            </w:r>
          </w:p>
        </w:tc>
        <w:tc>
          <w:tcPr>
            <w:tcW w:w="1984" w:type="dxa"/>
            <w:shd w:val="clear" w:color="auto" w:fill="A8D08D" w:themeFill="accent6" w:themeFillTint="99"/>
          </w:tcPr>
          <w:p w14:paraId="1F926DB4"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28</w:t>
            </w:r>
          </w:p>
        </w:tc>
      </w:tr>
      <w:tr w:rsidR="00E079AF" w:rsidRPr="00B07D79" w14:paraId="7830EE6E" w14:textId="77777777" w:rsidTr="003C103E">
        <w:tc>
          <w:tcPr>
            <w:tcW w:w="3118" w:type="dxa"/>
            <w:shd w:val="clear" w:color="auto" w:fill="A8D08D" w:themeFill="accent6" w:themeFillTint="99"/>
          </w:tcPr>
          <w:p w14:paraId="13930732"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riziko</w:t>
            </w:r>
          </w:p>
        </w:tc>
        <w:tc>
          <w:tcPr>
            <w:tcW w:w="1984" w:type="dxa"/>
            <w:shd w:val="clear" w:color="auto" w:fill="A8D08D" w:themeFill="accent6" w:themeFillTint="99"/>
          </w:tcPr>
          <w:p w14:paraId="0A87B813"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Explozivní, kryogenní</w:t>
            </w:r>
          </w:p>
        </w:tc>
        <w:tc>
          <w:tcPr>
            <w:tcW w:w="1984" w:type="dxa"/>
            <w:shd w:val="clear" w:color="auto" w:fill="A8D08D" w:themeFill="accent6" w:themeFillTint="99"/>
          </w:tcPr>
          <w:p w14:paraId="13AD5924"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toxický</w:t>
            </w:r>
          </w:p>
        </w:tc>
        <w:tc>
          <w:tcPr>
            <w:tcW w:w="1984" w:type="dxa"/>
            <w:shd w:val="clear" w:color="auto" w:fill="A8D08D" w:themeFill="accent6" w:themeFillTint="99"/>
          </w:tcPr>
          <w:p w14:paraId="7C41824E" w14:textId="77777777" w:rsidR="00E079AF" w:rsidRPr="00B07D79" w:rsidRDefault="00E079AF" w:rsidP="00B07D79">
            <w:pPr>
              <w:spacing w:line="276" w:lineRule="auto"/>
              <w:jc w:val="both"/>
              <w:rPr>
                <w:rFonts w:asciiTheme="minorHAnsi" w:hAnsiTheme="minorHAnsi"/>
              </w:rPr>
            </w:pPr>
            <w:r w:rsidRPr="00B07D79">
              <w:rPr>
                <w:rFonts w:asciiTheme="minorHAnsi" w:hAnsiTheme="minorHAnsi"/>
              </w:rPr>
              <w:t>Explozivní, kryogenní</w:t>
            </w:r>
          </w:p>
        </w:tc>
      </w:tr>
    </w:tbl>
    <w:p w14:paraId="2A3F7687" w14:textId="6A377D0C" w:rsidR="00BF2BD1" w:rsidRPr="00B07D79" w:rsidRDefault="00BF2BD1" w:rsidP="00B07D79">
      <w:pPr>
        <w:spacing w:line="276" w:lineRule="auto"/>
        <w:jc w:val="both"/>
        <w:rPr>
          <w:rFonts w:asciiTheme="minorHAnsi" w:hAnsiTheme="minorHAnsi"/>
        </w:rPr>
      </w:pPr>
      <w:r w:rsidRPr="00B07D79">
        <w:rPr>
          <w:rFonts w:asciiTheme="minorHAnsi" w:hAnsiTheme="minorHAnsi"/>
        </w:rPr>
        <w:t>Další výhodou je možnost výroby v</w:t>
      </w:r>
      <w:r w:rsidR="00CF2351" w:rsidRPr="00B07D79">
        <w:rPr>
          <w:rFonts w:asciiTheme="minorHAnsi" w:hAnsiTheme="minorHAnsi"/>
        </w:rPr>
        <w:t> </w:t>
      </w:r>
      <w:r w:rsidRPr="00B07D79">
        <w:rPr>
          <w:rFonts w:asciiTheme="minorHAnsi" w:hAnsiTheme="minorHAnsi"/>
        </w:rPr>
        <w:t>malých lokálních výrobních jednotkách, což snižuje zejména náklady na distribuci. Produkce nemusí probíhat v</w:t>
      </w:r>
      <w:r w:rsidR="00CF2351" w:rsidRPr="00B07D79">
        <w:rPr>
          <w:rFonts w:asciiTheme="minorHAnsi" w:hAnsiTheme="minorHAnsi"/>
        </w:rPr>
        <w:t> </w:t>
      </w:r>
      <w:r w:rsidRPr="00B07D79">
        <w:rPr>
          <w:rFonts w:asciiTheme="minorHAnsi" w:hAnsiTheme="minorHAnsi"/>
        </w:rPr>
        <w:t>nepřetržitém procesu, je možno ji spouštět v</w:t>
      </w:r>
      <w:r w:rsidR="00CF2351" w:rsidRPr="00B07D79">
        <w:rPr>
          <w:rFonts w:asciiTheme="minorHAnsi" w:hAnsiTheme="minorHAnsi"/>
        </w:rPr>
        <w:t> </w:t>
      </w:r>
      <w:r w:rsidRPr="00B07D79">
        <w:rPr>
          <w:rFonts w:asciiTheme="minorHAnsi" w:hAnsiTheme="minorHAnsi"/>
        </w:rPr>
        <w:t>okamžicích, kdy je v</w:t>
      </w:r>
      <w:r w:rsidR="00CF2351" w:rsidRPr="00B07D79">
        <w:rPr>
          <w:rFonts w:asciiTheme="minorHAnsi" w:hAnsiTheme="minorHAnsi"/>
        </w:rPr>
        <w:t> </w:t>
      </w:r>
      <w:r w:rsidRPr="00B07D79">
        <w:rPr>
          <w:rFonts w:asciiTheme="minorHAnsi" w:hAnsiTheme="minorHAnsi"/>
        </w:rPr>
        <w:t>síti nadbytek elektrické energie (ekonomice systému samozřejmě pomáhá nákup elektřiny za zápornou cenu).</w:t>
      </w:r>
    </w:p>
    <w:p w14:paraId="5FB2E684" w14:textId="35E5C013" w:rsidR="00BF2BD1" w:rsidRPr="00B07D79" w:rsidRDefault="00BF2BD1" w:rsidP="00B07D79">
      <w:pPr>
        <w:spacing w:line="276" w:lineRule="auto"/>
        <w:jc w:val="both"/>
        <w:rPr>
          <w:rFonts w:asciiTheme="minorHAnsi" w:hAnsiTheme="minorHAnsi"/>
        </w:rPr>
      </w:pPr>
      <w:r w:rsidRPr="00B07D79">
        <w:rPr>
          <w:rFonts w:asciiTheme="minorHAnsi" w:hAnsiTheme="minorHAnsi"/>
        </w:rPr>
        <w:t>Rizikem širšího využití čpavku je jeho toxicita. Toto riziko však není nutno přeceňovat, protože čpavek je poměrně rozšířeným produktem a</w:t>
      </w:r>
      <w:r w:rsidR="00CF2351" w:rsidRPr="00B07D79">
        <w:rPr>
          <w:rFonts w:asciiTheme="minorHAnsi" w:hAnsiTheme="minorHAnsi"/>
        </w:rPr>
        <w:t> </w:t>
      </w:r>
      <w:r w:rsidRPr="00B07D79">
        <w:rPr>
          <w:rFonts w:asciiTheme="minorHAnsi" w:hAnsiTheme="minorHAnsi"/>
        </w:rPr>
        <w:t>s jeho využitím, skladováním a</w:t>
      </w:r>
      <w:r w:rsidR="00CF2351" w:rsidRPr="00B07D79">
        <w:rPr>
          <w:rFonts w:asciiTheme="minorHAnsi" w:hAnsiTheme="minorHAnsi"/>
        </w:rPr>
        <w:t> </w:t>
      </w:r>
      <w:r w:rsidRPr="00B07D79">
        <w:rPr>
          <w:rFonts w:asciiTheme="minorHAnsi" w:hAnsiTheme="minorHAnsi"/>
        </w:rPr>
        <w:t>přepravou jsou již značné a</w:t>
      </w:r>
      <w:r w:rsidR="00CF2351" w:rsidRPr="00B07D79">
        <w:rPr>
          <w:rFonts w:asciiTheme="minorHAnsi" w:hAnsiTheme="minorHAnsi"/>
        </w:rPr>
        <w:t> </w:t>
      </w:r>
      <w:r w:rsidRPr="00B07D79">
        <w:rPr>
          <w:rFonts w:asciiTheme="minorHAnsi" w:hAnsiTheme="minorHAnsi"/>
        </w:rPr>
        <w:t>dlouhodobé zkušenosti.</w:t>
      </w:r>
    </w:p>
    <w:p w14:paraId="6D424F1C" w14:textId="123860DB" w:rsidR="00BF2BD1" w:rsidRPr="00B07D79" w:rsidRDefault="00BF2BD1" w:rsidP="00B07D79">
      <w:pPr>
        <w:spacing w:line="276" w:lineRule="auto"/>
        <w:jc w:val="both"/>
        <w:rPr>
          <w:rFonts w:asciiTheme="minorHAnsi" w:hAnsiTheme="minorHAnsi"/>
        </w:rPr>
      </w:pPr>
      <w:r w:rsidRPr="00B07D79">
        <w:rPr>
          <w:rFonts w:asciiTheme="minorHAnsi" w:hAnsiTheme="minorHAnsi"/>
        </w:rPr>
        <w:t>Ve srovnání s</w:t>
      </w:r>
      <w:r w:rsidR="00CF2351" w:rsidRPr="00B07D79">
        <w:rPr>
          <w:rFonts w:asciiTheme="minorHAnsi" w:hAnsiTheme="minorHAnsi"/>
        </w:rPr>
        <w:t> </w:t>
      </w:r>
      <w:r w:rsidRPr="00B07D79">
        <w:rPr>
          <w:rFonts w:asciiTheme="minorHAnsi" w:hAnsiTheme="minorHAnsi"/>
        </w:rPr>
        <w:t>„konkurenty“, tedy syntetickým metanem a</w:t>
      </w:r>
      <w:r w:rsidR="00CF2351" w:rsidRPr="00B07D79">
        <w:rPr>
          <w:rFonts w:asciiTheme="minorHAnsi" w:hAnsiTheme="minorHAnsi"/>
        </w:rPr>
        <w:t> </w:t>
      </w:r>
      <w:r w:rsidRPr="00B07D79">
        <w:rPr>
          <w:rFonts w:asciiTheme="minorHAnsi" w:hAnsiTheme="minorHAnsi"/>
        </w:rPr>
        <w:t>vodíkem má čpavek nižší náklady na transport a</w:t>
      </w:r>
      <w:r w:rsidR="00CF2351" w:rsidRPr="00B07D79">
        <w:rPr>
          <w:rFonts w:asciiTheme="minorHAnsi" w:hAnsiTheme="minorHAnsi"/>
        </w:rPr>
        <w:t> </w:t>
      </w:r>
      <w:r w:rsidRPr="00B07D79">
        <w:rPr>
          <w:rFonts w:asciiTheme="minorHAnsi" w:hAnsiTheme="minorHAnsi"/>
        </w:rPr>
        <w:t>skladování.</w:t>
      </w:r>
    </w:p>
    <w:p w14:paraId="23E1DA5D"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Závěry studie „</w:t>
      </w:r>
      <w:r w:rsidRPr="00B07D79">
        <w:rPr>
          <w:rFonts w:asciiTheme="minorHAnsi" w:hAnsiTheme="minorHAnsi"/>
          <w:lang w:val="en-GB"/>
        </w:rPr>
        <w:t>What role for electromethane and electroammonia technologies in European transport’s low carbon future“</w:t>
      </w:r>
      <w:r w:rsidRPr="00B07D79">
        <w:rPr>
          <w:rFonts w:asciiTheme="minorHAnsi" w:hAnsiTheme="minorHAnsi"/>
        </w:rPr>
        <w:t xml:space="preserve"> (Cerulogy, Chris Malins, 2018) preferují lehce čpavek před syntetickým metanem. Environmentální přínos obou paliv však zásadně závisí na původu energie použité na jeho výrobu.</w:t>
      </w:r>
    </w:p>
    <w:p w14:paraId="2A82D88F" w14:textId="77777777" w:rsidR="00BF2BD1" w:rsidRPr="003C103E" w:rsidRDefault="00BF2BD1" w:rsidP="00B07D79">
      <w:pPr>
        <w:spacing w:line="276" w:lineRule="auto"/>
        <w:jc w:val="both"/>
        <w:rPr>
          <w:rFonts w:asciiTheme="minorHAnsi" w:hAnsiTheme="minorHAnsi"/>
          <w:color w:val="385623" w:themeColor="accent6" w:themeShade="80"/>
        </w:rPr>
      </w:pPr>
      <w:r w:rsidRPr="003C103E">
        <w:rPr>
          <w:rFonts w:asciiTheme="minorHAnsi" w:hAnsiTheme="minorHAnsi"/>
          <w:color w:val="385623" w:themeColor="accent6" w:themeShade="80"/>
        </w:rPr>
        <w:t>Aktuální situace</w:t>
      </w:r>
    </w:p>
    <w:p w14:paraId="78BAB751" w14:textId="244E2902" w:rsidR="00BF2BD1" w:rsidRPr="00B07D79" w:rsidRDefault="00BF2BD1" w:rsidP="00B07D79">
      <w:pPr>
        <w:spacing w:line="276" w:lineRule="auto"/>
        <w:jc w:val="both"/>
        <w:rPr>
          <w:rFonts w:asciiTheme="minorHAnsi" w:hAnsiTheme="minorHAnsi"/>
        </w:rPr>
      </w:pPr>
      <w:r w:rsidRPr="00B07D79">
        <w:rPr>
          <w:rFonts w:asciiTheme="minorHAnsi" w:hAnsiTheme="minorHAnsi"/>
        </w:rPr>
        <w:t>Většina vývojových pracovišť zabývajících se čpavkem v</w:t>
      </w:r>
      <w:r w:rsidR="00CF2351" w:rsidRPr="00B07D79">
        <w:rPr>
          <w:rFonts w:asciiTheme="minorHAnsi" w:hAnsiTheme="minorHAnsi"/>
        </w:rPr>
        <w:t> </w:t>
      </w:r>
      <w:r w:rsidRPr="00B07D79">
        <w:rPr>
          <w:rFonts w:asciiTheme="minorHAnsi" w:hAnsiTheme="minorHAnsi"/>
        </w:rPr>
        <w:t>energetice a</w:t>
      </w:r>
      <w:r w:rsidR="00CF2351" w:rsidRPr="00B07D79">
        <w:rPr>
          <w:rFonts w:asciiTheme="minorHAnsi" w:hAnsiTheme="minorHAnsi"/>
        </w:rPr>
        <w:t> </w:t>
      </w:r>
      <w:r w:rsidRPr="00B07D79">
        <w:rPr>
          <w:rFonts w:asciiTheme="minorHAnsi" w:hAnsiTheme="minorHAnsi"/>
        </w:rPr>
        <w:t>dopravě pochází z</w:t>
      </w:r>
      <w:r w:rsidR="00CF2351" w:rsidRPr="00B07D79">
        <w:rPr>
          <w:rFonts w:asciiTheme="minorHAnsi" w:hAnsiTheme="minorHAnsi"/>
        </w:rPr>
        <w:t> </w:t>
      </w:r>
      <w:r w:rsidRPr="00B07D79">
        <w:rPr>
          <w:rFonts w:asciiTheme="minorHAnsi" w:hAnsiTheme="minorHAnsi"/>
        </w:rPr>
        <w:t>Japonska, Austrálie, USA a</w:t>
      </w:r>
      <w:r w:rsidR="00CF2351" w:rsidRPr="00B07D79">
        <w:rPr>
          <w:rFonts w:asciiTheme="minorHAnsi" w:hAnsiTheme="minorHAnsi"/>
        </w:rPr>
        <w:t> </w:t>
      </w:r>
      <w:r w:rsidRPr="00B07D79">
        <w:rPr>
          <w:rFonts w:asciiTheme="minorHAnsi" w:hAnsiTheme="minorHAnsi"/>
        </w:rPr>
        <w:t>Kanady. V</w:t>
      </w:r>
      <w:r w:rsidR="00CF2351" w:rsidRPr="00B07D79">
        <w:rPr>
          <w:rFonts w:asciiTheme="minorHAnsi" w:hAnsiTheme="minorHAnsi"/>
        </w:rPr>
        <w:t> </w:t>
      </w:r>
      <w:r w:rsidRPr="00B07D79">
        <w:rPr>
          <w:rFonts w:asciiTheme="minorHAnsi" w:hAnsiTheme="minorHAnsi"/>
        </w:rPr>
        <w:t>posledních letech se vývojové projekty objevují i</w:t>
      </w:r>
      <w:r w:rsidR="00CF2351" w:rsidRPr="00B07D79">
        <w:rPr>
          <w:rFonts w:asciiTheme="minorHAnsi" w:hAnsiTheme="minorHAnsi"/>
        </w:rPr>
        <w:t> </w:t>
      </w:r>
      <w:r w:rsidRPr="00B07D79">
        <w:rPr>
          <w:rFonts w:asciiTheme="minorHAnsi" w:hAnsiTheme="minorHAnsi"/>
        </w:rPr>
        <w:t>v Norsku, Holandsku, Indii.</w:t>
      </w:r>
    </w:p>
    <w:p w14:paraId="2E17A8AB" w14:textId="235DAF81" w:rsidR="00BF2BD1" w:rsidRPr="00B07D79" w:rsidRDefault="00BF2BD1" w:rsidP="00B07D79">
      <w:pPr>
        <w:spacing w:line="276" w:lineRule="auto"/>
        <w:jc w:val="both"/>
        <w:rPr>
          <w:rFonts w:asciiTheme="minorHAnsi" w:hAnsiTheme="minorHAnsi"/>
          <w:lang w:val="en-GB"/>
        </w:rPr>
      </w:pPr>
      <w:r w:rsidRPr="00B07D79">
        <w:rPr>
          <w:rFonts w:asciiTheme="minorHAnsi" w:hAnsiTheme="minorHAnsi"/>
        </w:rPr>
        <w:t>Cílem dalšího vývoje je snižování produkčních nákladů, aby se „čpavková cesta“ stala plně konkurenceschopnou. Cestou je například náhrada Haber-Boschova procesu procesem, který</w:t>
      </w:r>
      <w:r w:rsidR="00422864" w:rsidRPr="00B07D79">
        <w:rPr>
          <w:rFonts w:asciiTheme="minorHAnsi" w:hAnsiTheme="minorHAnsi"/>
        </w:rPr>
        <w:t> </w:t>
      </w:r>
      <w:r w:rsidRPr="00B07D79">
        <w:rPr>
          <w:rFonts w:asciiTheme="minorHAnsi" w:hAnsiTheme="minorHAnsi"/>
        </w:rPr>
        <w:t>nevyžaduje vysoké teploty a</w:t>
      </w:r>
      <w:r w:rsidR="00CF2351" w:rsidRPr="00B07D79">
        <w:rPr>
          <w:rFonts w:asciiTheme="minorHAnsi" w:hAnsiTheme="minorHAnsi"/>
        </w:rPr>
        <w:t> </w:t>
      </w:r>
      <w:r w:rsidRPr="00B07D79">
        <w:rPr>
          <w:rFonts w:asciiTheme="minorHAnsi" w:hAnsiTheme="minorHAnsi"/>
        </w:rPr>
        <w:t>tlak a</w:t>
      </w:r>
      <w:r w:rsidR="00CF2351" w:rsidRPr="00B07D79">
        <w:rPr>
          <w:rFonts w:asciiTheme="minorHAnsi" w:hAnsiTheme="minorHAnsi"/>
        </w:rPr>
        <w:t> </w:t>
      </w:r>
      <w:r w:rsidRPr="00B07D79">
        <w:rPr>
          <w:rFonts w:asciiTheme="minorHAnsi" w:hAnsiTheme="minorHAnsi"/>
        </w:rPr>
        <w:t>vysokou čistotu H2 a</w:t>
      </w:r>
      <w:r w:rsidR="00CF2351" w:rsidRPr="00B07D79">
        <w:rPr>
          <w:rFonts w:asciiTheme="minorHAnsi" w:hAnsiTheme="minorHAnsi"/>
        </w:rPr>
        <w:t> </w:t>
      </w:r>
      <w:r w:rsidRPr="00B07D79">
        <w:rPr>
          <w:rFonts w:asciiTheme="minorHAnsi" w:hAnsiTheme="minorHAnsi"/>
        </w:rPr>
        <w:t xml:space="preserve">N2 (Institute </w:t>
      </w:r>
      <w:r w:rsidRPr="00B07D79">
        <w:rPr>
          <w:rFonts w:asciiTheme="minorHAnsi" w:hAnsiTheme="minorHAnsi"/>
          <w:lang w:val="en-GB"/>
        </w:rPr>
        <w:t>for Sustainable Process Technology, NL).</w:t>
      </w:r>
    </w:p>
    <w:p w14:paraId="5CAE86E7" w14:textId="04FD66A3" w:rsidR="00BF2BD1" w:rsidRPr="00B07D79" w:rsidRDefault="00BF2BD1" w:rsidP="00B07D79">
      <w:pPr>
        <w:spacing w:line="276" w:lineRule="auto"/>
        <w:jc w:val="both"/>
        <w:rPr>
          <w:rFonts w:asciiTheme="minorHAnsi" w:hAnsiTheme="minorHAnsi"/>
        </w:rPr>
      </w:pPr>
      <w:r w:rsidRPr="00B07D79">
        <w:rPr>
          <w:rFonts w:asciiTheme="minorHAnsi" w:hAnsiTheme="minorHAnsi"/>
        </w:rPr>
        <w:lastRenderedPageBreak/>
        <w:t>Plně komerční nasazení čpavkových technologií v</w:t>
      </w:r>
      <w:r w:rsidR="00CF2351" w:rsidRPr="00B07D79">
        <w:rPr>
          <w:rFonts w:asciiTheme="minorHAnsi" w:hAnsiTheme="minorHAnsi"/>
        </w:rPr>
        <w:t> </w:t>
      </w:r>
      <w:r w:rsidRPr="00B07D79">
        <w:rPr>
          <w:rFonts w:asciiTheme="minorHAnsi" w:hAnsiTheme="minorHAnsi"/>
        </w:rPr>
        <w:t>energetice a</w:t>
      </w:r>
      <w:r w:rsidR="00CF2351" w:rsidRPr="00B07D79">
        <w:rPr>
          <w:rFonts w:asciiTheme="minorHAnsi" w:hAnsiTheme="minorHAnsi"/>
        </w:rPr>
        <w:t> </w:t>
      </w:r>
      <w:r w:rsidRPr="00B07D79">
        <w:rPr>
          <w:rFonts w:asciiTheme="minorHAnsi" w:hAnsiTheme="minorHAnsi"/>
        </w:rPr>
        <w:t>dopravě se předpokládá v</w:t>
      </w:r>
      <w:r w:rsidR="00CF2351" w:rsidRPr="00B07D79">
        <w:rPr>
          <w:rFonts w:asciiTheme="minorHAnsi" w:hAnsiTheme="minorHAnsi"/>
        </w:rPr>
        <w:t> </w:t>
      </w:r>
      <w:r w:rsidRPr="00B07D79">
        <w:rPr>
          <w:rFonts w:asciiTheme="minorHAnsi" w:hAnsiTheme="minorHAnsi"/>
        </w:rPr>
        <w:t>roce 2030 (Siemens, 2015), novější studie již pracují s</w:t>
      </w:r>
      <w:r w:rsidR="00CF2351" w:rsidRPr="00B07D79">
        <w:rPr>
          <w:rFonts w:asciiTheme="minorHAnsi" w:hAnsiTheme="minorHAnsi"/>
        </w:rPr>
        <w:t> </w:t>
      </w:r>
      <w:r w:rsidRPr="00B07D79">
        <w:rPr>
          <w:rFonts w:asciiTheme="minorHAnsi" w:hAnsiTheme="minorHAnsi"/>
        </w:rPr>
        <w:t>rokem 2025.</w:t>
      </w:r>
    </w:p>
    <w:p w14:paraId="2E7A4381" w14:textId="08E2B40A" w:rsidR="00BF2BD1" w:rsidRPr="00B07D79" w:rsidRDefault="00BF2BD1" w:rsidP="00B07D79">
      <w:pPr>
        <w:spacing w:line="276" w:lineRule="auto"/>
        <w:jc w:val="both"/>
        <w:rPr>
          <w:rFonts w:asciiTheme="minorHAnsi" w:hAnsiTheme="minorHAnsi"/>
        </w:rPr>
      </w:pPr>
      <w:r w:rsidRPr="00B07D79">
        <w:rPr>
          <w:rFonts w:asciiTheme="minorHAnsi" w:hAnsiTheme="minorHAnsi"/>
        </w:rPr>
        <w:t>Aktuální směry využití čpavku se orientují nejen na dlouhodobé ukládání elektrické energie a</w:t>
      </w:r>
      <w:r w:rsidR="00CF2351" w:rsidRPr="00B07D79">
        <w:rPr>
          <w:rFonts w:asciiTheme="minorHAnsi" w:hAnsiTheme="minorHAnsi"/>
        </w:rPr>
        <w:t> </w:t>
      </w:r>
      <w:r w:rsidRPr="00B07D79">
        <w:rPr>
          <w:rFonts w:asciiTheme="minorHAnsi" w:hAnsiTheme="minorHAnsi"/>
        </w:rPr>
        <w:t>na lodní dopravu. Například firma Flogas společně s</w:t>
      </w:r>
      <w:r w:rsidR="00CF2351" w:rsidRPr="00B07D79">
        <w:rPr>
          <w:rFonts w:asciiTheme="minorHAnsi" w:hAnsiTheme="minorHAnsi"/>
        </w:rPr>
        <w:t> </w:t>
      </w:r>
      <w:r w:rsidRPr="00B07D79">
        <w:rPr>
          <w:rFonts w:asciiTheme="minorHAnsi" w:hAnsiTheme="minorHAnsi"/>
        </w:rPr>
        <w:t>britský</w:t>
      </w:r>
      <w:r w:rsidR="006F34B6" w:rsidRPr="00B07D79">
        <w:rPr>
          <w:rFonts w:asciiTheme="minorHAnsi" w:hAnsiTheme="minorHAnsi"/>
        </w:rPr>
        <w:t>m</w:t>
      </w:r>
      <w:r w:rsidRPr="00B07D79">
        <w:rPr>
          <w:rFonts w:asciiTheme="minorHAnsi" w:hAnsiTheme="minorHAnsi"/>
        </w:rPr>
        <w:t xml:space="preserve"> ministerstvem energetiky a</w:t>
      </w:r>
      <w:r w:rsidR="00CF2351" w:rsidRPr="00B07D79">
        <w:rPr>
          <w:rFonts w:asciiTheme="minorHAnsi" w:hAnsiTheme="minorHAnsi"/>
        </w:rPr>
        <w:t> </w:t>
      </w:r>
      <w:r w:rsidRPr="00B07D79">
        <w:rPr>
          <w:rFonts w:asciiTheme="minorHAnsi" w:hAnsiTheme="minorHAnsi"/>
        </w:rPr>
        <w:t>Universitou v</w:t>
      </w:r>
      <w:r w:rsidR="00CF2351" w:rsidRPr="00B07D79">
        <w:rPr>
          <w:rFonts w:asciiTheme="minorHAnsi" w:hAnsiTheme="minorHAnsi"/>
        </w:rPr>
        <w:t> </w:t>
      </w:r>
      <w:r w:rsidRPr="00B07D79">
        <w:rPr>
          <w:rFonts w:asciiTheme="minorHAnsi" w:hAnsiTheme="minorHAnsi"/>
        </w:rPr>
        <w:t>Cardiffu pracují na projektu kotlů na ohřev vody využívajících jako palivo čpavek.</w:t>
      </w:r>
    </w:p>
    <w:p w14:paraId="237C81CF" w14:textId="76E03DF4" w:rsidR="00BF2BD1" w:rsidRPr="00B07D79" w:rsidRDefault="00BF2BD1" w:rsidP="00B07D79">
      <w:pPr>
        <w:spacing w:line="276" w:lineRule="auto"/>
        <w:jc w:val="both"/>
        <w:rPr>
          <w:rFonts w:asciiTheme="minorHAnsi" w:hAnsiTheme="minorHAnsi"/>
        </w:rPr>
      </w:pPr>
      <w:r w:rsidRPr="00B07D79">
        <w:rPr>
          <w:rFonts w:asciiTheme="minorHAnsi" w:hAnsiTheme="minorHAnsi"/>
        </w:rPr>
        <w:t>Řada připravovaných projektů na výrobu vodíku pracuje s</w:t>
      </w:r>
      <w:r w:rsidR="00CF2351" w:rsidRPr="00B07D79">
        <w:rPr>
          <w:rFonts w:asciiTheme="minorHAnsi" w:hAnsiTheme="minorHAnsi"/>
        </w:rPr>
        <w:t> </w:t>
      </w:r>
      <w:r w:rsidRPr="00B07D79">
        <w:rPr>
          <w:rFonts w:asciiTheme="minorHAnsi" w:hAnsiTheme="minorHAnsi"/>
        </w:rPr>
        <w:t>variantou přeměny menší či větší části produkce rovnou na čpavek (například projekt Hyrasia v</w:t>
      </w:r>
      <w:r w:rsidR="00CF2351" w:rsidRPr="00B07D79">
        <w:rPr>
          <w:rFonts w:asciiTheme="minorHAnsi" w:hAnsiTheme="minorHAnsi"/>
        </w:rPr>
        <w:t> </w:t>
      </w:r>
      <w:r w:rsidRPr="00B07D79">
        <w:rPr>
          <w:rFonts w:asciiTheme="minorHAnsi" w:hAnsiTheme="minorHAnsi"/>
        </w:rPr>
        <w:t>Kazachstánu s</w:t>
      </w:r>
      <w:r w:rsidR="00CF2351" w:rsidRPr="00B07D79">
        <w:rPr>
          <w:rFonts w:asciiTheme="minorHAnsi" w:hAnsiTheme="minorHAnsi"/>
        </w:rPr>
        <w:t> </w:t>
      </w:r>
      <w:r w:rsidRPr="00B07D79">
        <w:rPr>
          <w:rFonts w:asciiTheme="minorHAnsi" w:hAnsiTheme="minorHAnsi"/>
        </w:rPr>
        <w:t xml:space="preserve">předpokládanou </w:t>
      </w:r>
      <w:r w:rsidR="006F34B6" w:rsidRPr="00B07D79">
        <w:rPr>
          <w:rFonts w:asciiTheme="minorHAnsi" w:hAnsiTheme="minorHAnsi"/>
        </w:rPr>
        <w:t xml:space="preserve">produkcí </w:t>
      </w:r>
      <w:r w:rsidRPr="00B07D79">
        <w:rPr>
          <w:rFonts w:asciiTheme="minorHAnsi" w:hAnsiTheme="minorHAnsi"/>
        </w:rPr>
        <w:t>2 milionů tun vodíku nebo 11 milionů tun čpavku ročně v</w:t>
      </w:r>
      <w:r w:rsidR="00CF2351" w:rsidRPr="00B07D79">
        <w:rPr>
          <w:rFonts w:asciiTheme="minorHAnsi" w:hAnsiTheme="minorHAnsi"/>
        </w:rPr>
        <w:t> </w:t>
      </w:r>
      <w:r w:rsidRPr="00B07D79">
        <w:rPr>
          <w:rFonts w:asciiTheme="minorHAnsi" w:hAnsiTheme="minorHAnsi"/>
        </w:rPr>
        <w:t>roce 2032)</w:t>
      </w:r>
    </w:p>
    <w:p w14:paraId="7A8CA2C9" w14:textId="3E343ECE" w:rsidR="00BF2BD1" w:rsidRPr="00B07D79" w:rsidRDefault="00BF2BD1" w:rsidP="00B07D79">
      <w:pPr>
        <w:spacing w:line="276" w:lineRule="auto"/>
        <w:jc w:val="both"/>
        <w:rPr>
          <w:rFonts w:asciiTheme="minorHAnsi" w:hAnsiTheme="minorHAnsi"/>
        </w:rPr>
      </w:pPr>
      <w:r w:rsidRPr="00B07D79">
        <w:rPr>
          <w:rFonts w:asciiTheme="minorHAnsi" w:hAnsiTheme="minorHAnsi"/>
        </w:rPr>
        <w:t>Ekonomika a</w:t>
      </w:r>
      <w:r w:rsidR="00CF2351" w:rsidRPr="00B07D79">
        <w:rPr>
          <w:rFonts w:asciiTheme="minorHAnsi" w:hAnsiTheme="minorHAnsi"/>
        </w:rPr>
        <w:t> </w:t>
      </w:r>
      <w:r w:rsidRPr="00B07D79">
        <w:rPr>
          <w:rFonts w:asciiTheme="minorHAnsi" w:hAnsiTheme="minorHAnsi"/>
        </w:rPr>
        <w:t>budoucnost využití čpavku</w:t>
      </w:r>
    </w:p>
    <w:p w14:paraId="004DE8E4" w14:textId="15795043" w:rsidR="00BF2BD1" w:rsidRPr="00B07D79" w:rsidRDefault="00BF2BD1" w:rsidP="00B07D79">
      <w:pPr>
        <w:spacing w:line="276" w:lineRule="auto"/>
        <w:jc w:val="both"/>
        <w:rPr>
          <w:rFonts w:asciiTheme="minorHAnsi" w:hAnsiTheme="minorHAnsi"/>
        </w:rPr>
      </w:pPr>
      <w:r w:rsidRPr="00B07D79">
        <w:rPr>
          <w:rFonts w:asciiTheme="minorHAnsi" w:hAnsiTheme="minorHAnsi"/>
        </w:rPr>
        <w:t>Obdobně jako u</w:t>
      </w:r>
      <w:r w:rsidR="00CF2351" w:rsidRPr="00B07D79">
        <w:rPr>
          <w:rFonts w:asciiTheme="minorHAnsi" w:hAnsiTheme="minorHAnsi"/>
        </w:rPr>
        <w:t> </w:t>
      </w:r>
      <w:r w:rsidRPr="00B07D79">
        <w:rPr>
          <w:rFonts w:asciiTheme="minorHAnsi" w:hAnsiTheme="minorHAnsi"/>
        </w:rPr>
        <w:t>syntetických paliv závisí cena čpavku (a celého čpavkového řetězce) na ceně vodíku. Je tedy nerelevantní pracovat s</w:t>
      </w:r>
      <w:r w:rsidR="00CF2351" w:rsidRPr="00B07D79">
        <w:rPr>
          <w:rFonts w:asciiTheme="minorHAnsi" w:hAnsiTheme="minorHAnsi"/>
        </w:rPr>
        <w:t> </w:t>
      </w:r>
      <w:r w:rsidRPr="00B07D79">
        <w:rPr>
          <w:rFonts w:asciiTheme="minorHAnsi" w:hAnsiTheme="minorHAnsi"/>
        </w:rPr>
        <w:t>argumentací, že čpavková energetika je nepřijatelně drahá. Bude tak dlouho drahá, jak dlouho bude drahá výroba zeleného vodíku.</w:t>
      </w:r>
    </w:p>
    <w:p w14:paraId="47EC2DA6"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Efektivita výroby vodíku závisí nejen na elektrolyzérech, ale na efektivitě výroby samotné bezemisní elektrické energie. </w:t>
      </w:r>
    </w:p>
    <w:p w14:paraId="4AA00356" w14:textId="76FD1CBB" w:rsidR="00BF2BD1" w:rsidRPr="00B07D79" w:rsidRDefault="00BF2BD1" w:rsidP="00B07D79">
      <w:pPr>
        <w:spacing w:line="276" w:lineRule="auto"/>
        <w:jc w:val="both"/>
        <w:rPr>
          <w:rFonts w:asciiTheme="minorHAnsi" w:hAnsiTheme="minorHAnsi"/>
        </w:rPr>
      </w:pPr>
      <w:r w:rsidRPr="00B07D79">
        <w:rPr>
          <w:rFonts w:asciiTheme="minorHAnsi" w:hAnsiTheme="minorHAnsi"/>
        </w:rPr>
        <w:t>Propočty ukazují, že výroba čisté energie v</w:t>
      </w:r>
      <w:r w:rsidR="00CF2351" w:rsidRPr="00B07D79">
        <w:rPr>
          <w:rFonts w:asciiTheme="minorHAnsi" w:hAnsiTheme="minorHAnsi"/>
        </w:rPr>
        <w:t> </w:t>
      </w:r>
      <w:r w:rsidRPr="00B07D79">
        <w:rPr>
          <w:rFonts w:asciiTheme="minorHAnsi" w:hAnsiTheme="minorHAnsi"/>
        </w:rPr>
        <w:t>místech s</w:t>
      </w:r>
      <w:r w:rsidR="00CF2351" w:rsidRPr="00B07D79">
        <w:rPr>
          <w:rFonts w:asciiTheme="minorHAnsi" w:hAnsiTheme="minorHAnsi"/>
        </w:rPr>
        <w:t> </w:t>
      </w:r>
      <w:r w:rsidRPr="00B07D79">
        <w:rPr>
          <w:rFonts w:asciiTheme="minorHAnsi" w:hAnsiTheme="minorHAnsi"/>
        </w:rPr>
        <w:t>trvalým větrem nebo vyšší intenzitou slunečního záření (Chile, severní Afrika…) je násobně efektivní než výroba v</w:t>
      </w:r>
      <w:r w:rsidR="00CF2351" w:rsidRPr="00B07D79">
        <w:rPr>
          <w:rFonts w:asciiTheme="minorHAnsi" w:hAnsiTheme="minorHAnsi"/>
        </w:rPr>
        <w:t> </w:t>
      </w:r>
      <w:r w:rsidRPr="00B07D79">
        <w:rPr>
          <w:rFonts w:asciiTheme="minorHAnsi" w:hAnsiTheme="minorHAnsi"/>
        </w:rPr>
        <w:t>Evropě. Lze tedy předpokládat, že Evropa bude elektrickou energii dovážet z</w:t>
      </w:r>
      <w:r w:rsidR="00CF2351" w:rsidRPr="00B07D79">
        <w:rPr>
          <w:rFonts w:asciiTheme="minorHAnsi" w:hAnsiTheme="minorHAnsi"/>
        </w:rPr>
        <w:t> </w:t>
      </w:r>
      <w:r w:rsidRPr="00B07D79">
        <w:rPr>
          <w:rFonts w:asciiTheme="minorHAnsi" w:hAnsiTheme="minorHAnsi"/>
        </w:rPr>
        <w:t>na výrobu vhodnějších míst (stejně jako dnes dováží ropu, plyn, naftu…). Transport elektřiny dlouhými podmořskými kabely nebo</w:t>
      </w:r>
      <w:r w:rsidR="00422864" w:rsidRPr="00B07D79">
        <w:rPr>
          <w:rFonts w:asciiTheme="minorHAnsi" w:hAnsiTheme="minorHAnsi"/>
        </w:rPr>
        <w:t> </w:t>
      </w:r>
      <w:r w:rsidRPr="00B07D79">
        <w:rPr>
          <w:rFonts w:asciiTheme="minorHAnsi" w:hAnsiTheme="minorHAnsi"/>
        </w:rPr>
        <w:t>ve formě vodíku nedává díky fyzikálním limitům moc smysl, zřejmě se nakonec prosadí mimo jiné i</w:t>
      </w:r>
      <w:r w:rsidR="00CF2351" w:rsidRPr="00B07D79">
        <w:rPr>
          <w:rFonts w:asciiTheme="minorHAnsi" w:hAnsiTheme="minorHAnsi"/>
        </w:rPr>
        <w:t> </w:t>
      </w:r>
      <w:r w:rsidRPr="00B07D79">
        <w:rPr>
          <w:rFonts w:asciiTheme="minorHAnsi" w:hAnsiTheme="minorHAnsi"/>
        </w:rPr>
        <w:t>přeměna elektřiny (vodíku) v</w:t>
      </w:r>
      <w:r w:rsidR="00CF2351" w:rsidRPr="00B07D79">
        <w:rPr>
          <w:rFonts w:asciiTheme="minorHAnsi" w:hAnsiTheme="minorHAnsi"/>
        </w:rPr>
        <w:t> </w:t>
      </w:r>
      <w:r w:rsidRPr="00B07D79">
        <w:rPr>
          <w:rFonts w:asciiTheme="minorHAnsi" w:hAnsiTheme="minorHAnsi"/>
        </w:rPr>
        <w:t>místě výroby ve čpavek. A</w:t>
      </w:r>
      <w:r w:rsidR="00CF2351" w:rsidRPr="00B07D79">
        <w:rPr>
          <w:rFonts w:asciiTheme="minorHAnsi" w:hAnsiTheme="minorHAnsi"/>
        </w:rPr>
        <w:t> </w:t>
      </w:r>
      <w:r w:rsidRPr="00B07D79">
        <w:rPr>
          <w:rFonts w:asciiTheme="minorHAnsi" w:hAnsiTheme="minorHAnsi"/>
        </w:rPr>
        <w:t>v okamžiku, kdy bude čistá energie do Evropy dodávána také v</w:t>
      </w:r>
      <w:r w:rsidR="00CF2351" w:rsidRPr="00B07D79">
        <w:rPr>
          <w:rFonts w:asciiTheme="minorHAnsi" w:hAnsiTheme="minorHAnsi"/>
        </w:rPr>
        <w:t> </w:t>
      </w:r>
      <w:r w:rsidRPr="00B07D79">
        <w:rPr>
          <w:rFonts w:asciiTheme="minorHAnsi" w:hAnsiTheme="minorHAnsi"/>
        </w:rPr>
        <w:t>podobě čpavku, má smysl uvažovat o</w:t>
      </w:r>
      <w:r w:rsidR="00CF2351" w:rsidRPr="00B07D79">
        <w:rPr>
          <w:rFonts w:asciiTheme="minorHAnsi" w:hAnsiTheme="minorHAnsi"/>
        </w:rPr>
        <w:t> </w:t>
      </w:r>
      <w:r w:rsidRPr="00B07D79">
        <w:rPr>
          <w:rFonts w:asciiTheme="minorHAnsi" w:hAnsiTheme="minorHAnsi"/>
        </w:rPr>
        <w:t>přímém využití čpavku v</w:t>
      </w:r>
      <w:r w:rsidR="00CF2351" w:rsidRPr="00B07D79">
        <w:rPr>
          <w:rFonts w:asciiTheme="minorHAnsi" w:hAnsiTheme="minorHAnsi"/>
        </w:rPr>
        <w:t> </w:t>
      </w:r>
      <w:r w:rsidRPr="00B07D79">
        <w:rPr>
          <w:rFonts w:asciiTheme="minorHAnsi" w:hAnsiTheme="minorHAnsi"/>
        </w:rPr>
        <w:t>dopravě. Zpětnou výrobou vodíku z</w:t>
      </w:r>
      <w:r w:rsidR="00CF2351" w:rsidRPr="00B07D79">
        <w:rPr>
          <w:rFonts w:asciiTheme="minorHAnsi" w:hAnsiTheme="minorHAnsi"/>
        </w:rPr>
        <w:t> </w:t>
      </w:r>
      <w:r w:rsidRPr="00B07D79">
        <w:rPr>
          <w:rFonts w:asciiTheme="minorHAnsi" w:hAnsiTheme="minorHAnsi"/>
        </w:rPr>
        <w:t>čpavku přímo v</w:t>
      </w:r>
      <w:r w:rsidR="00CF2351" w:rsidRPr="00B07D79">
        <w:rPr>
          <w:rFonts w:asciiTheme="minorHAnsi" w:hAnsiTheme="minorHAnsi"/>
        </w:rPr>
        <w:t> </w:t>
      </w:r>
      <w:r w:rsidRPr="00B07D79">
        <w:rPr>
          <w:rFonts w:asciiTheme="minorHAnsi" w:hAnsiTheme="minorHAnsi"/>
        </w:rPr>
        <w:t>místě skladování bychom z</w:t>
      </w:r>
      <w:r w:rsidR="00CF2351" w:rsidRPr="00B07D79">
        <w:rPr>
          <w:rFonts w:asciiTheme="minorHAnsi" w:hAnsiTheme="minorHAnsi"/>
        </w:rPr>
        <w:t> </w:t>
      </w:r>
      <w:r w:rsidRPr="00B07D79">
        <w:rPr>
          <w:rFonts w:asciiTheme="minorHAnsi" w:hAnsiTheme="minorHAnsi"/>
        </w:rPr>
        <w:t>pohledu energetické efektivity nic neušetřili, ale naopak bychom zvyšovali náklady na</w:t>
      </w:r>
      <w:r w:rsidR="00422864" w:rsidRPr="00B07D79">
        <w:rPr>
          <w:rFonts w:asciiTheme="minorHAnsi" w:hAnsiTheme="minorHAnsi"/>
        </w:rPr>
        <w:t> </w:t>
      </w:r>
      <w:r w:rsidRPr="00B07D79">
        <w:rPr>
          <w:rFonts w:asciiTheme="minorHAnsi" w:hAnsiTheme="minorHAnsi"/>
        </w:rPr>
        <w:t>logistiku (která je u</w:t>
      </w:r>
      <w:r w:rsidR="00CF2351" w:rsidRPr="00B07D79">
        <w:rPr>
          <w:rFonts w:asciiTheme="minorHAnsi" w:hAnsiTheme="minorHAnsi"/>
        </w:rPr>
        <w:t> </w:t>
      </w:r>
      <w:r w:rsidRPr="00B07D79">
        <w:rPr>
          <w:rFonts w:asciiTheme="minorHAnsi" w:hAnsiTheme="minorHAnsi"/>
        </w:rPr>
        <w:t>vodíku komplikovanější než u</w:t>
      </w:r>
      <w:r w:rsidR="00CF2351" w:rsidRPr="00B07D79">
        <w:rPr>
          <w:rFonts w:asciiTheme="minorHAnsi" w:hAnsiTheme="minorHAnsi"/>
        </w:rPr>
        <w:t> </w:t>
      </w:r>
      <w:r w:rsidRPr="00B07D79">
        <w:rPr>
          <w:rFonts w:asciiTheme="minorHAnsi" w:hAnsiTheme="minorHAnsi"/>
        </w:rPr>
        <w:t>čpavku).</w:t>
      </w:r>
    </w:p>
    <w:p w14:paraId="77ACCDC9" w14:textId="4E7648DE"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Možnosti vývoje a</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využití čpavkových technologií v</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Česku</w:t>
      </w:r>
    </w:p>
    <w:p w14:paraId="3B5F862A" w14:textId="278FBE7F" w:rsidR="00BF2BD1" w:rsidRPr="00B07D79" w:rsidRDefault="00BF2BD1" w:rsidP="00B07D79">
      <w:pPr>
        <w:spacing w:line="276" w:lineRule="auto"/>
        <w:jc w:val="both"/>
        <w:rPr>
          <w:rFonts w:asciiTheme="minorHAnsi" w:hAnsiTheme="minorHAnsi"/>
        </w:rPr>
      </w:pPr>
      <w:r w:rsidRPr="00B07D79">
        <w:rPr>
          <w:rFonts w:asciiTheme="minorHAnsi" w:hAnsiTheme="minorHAnsi"/>
        </w:rPr>
        <w:t>Aktuálně se mezinárodní výzkum a</w:t>
      </w:r>
      <w:r w:rsidR="00CF2351" w:rsidRPr="00B07D79">
        <w:rPr>
          <w:rFonts w:asciiTheme="minorHAnsi" w:hAnsiTheme="minorHAnsi"/>
        </w:rPr>
        <w:t> </w:t>
      </w:r>
      <w:r w:rsidRPr="00B07D79">
        <w:rPr>
          <w:rFonts w:asciiTheme="minorHAnsi" w:hAnsiTheme="minorHAnsi"/>
        </w:rPr>
        <w:t>vývoj využití čpavku v</w:t>
      </w:r>
      <w:r w:rsidR="00CF2351" w:rsidRPr="00B07D79">
        <w:rPr>
          <w:rFonts w:asciiTheme="minorHAnsi" w:hAnsiTheme="minorHAnsi"/>
        </w:rPr>
        <w:t> </w:t>
      </w:r>
      <w:r w:rsidRPr="00B07D79">
        <w:rPr>
          <w:rFonts w:asciiTheme="minorHAnsi" w:hAnsiTheme="minorHAnsi"/>
        </w:rPr>
        <w:t>dopravě věnuje těmto směrům</w:t>
      </w:r>
    </w:p>
    <w:p w14:paraId="5AAAD3B2" w14:textId="6E78F0A0"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možnosti přímého spalování čpavku v</w:t>
      </w:r>
      <w:r w:rsidR="00CF2351" w:rsidRPr="00B07D79">
        <w:rPr>
          <w:rFonts w:asciiTheme="minorHAnsi" w:hAnsiTheme="minorHAnsi"/>
        </w:rPr>
        <w:t> </w:t>
      </w:r>
      <w:r w:rsidRPr="00B07D79">
        <w:rPr>
          <w:rFonts w:asciiTheme="minorHAnsi" w:hAnsiTheme="minorHAnsi"/>
        </w:rPr>
        <w:t>motoru (buď čistý čpavek nebo kombinace čpavku s</w:t>
      </w:r>
      <w:r w:rsidR="00CF2351" w:rsidRPr="00B07D79">
        <w:rPr>
          <w:rFonts w:asciiTheme="minorHAnsi" w:hAnsiTheme="minorHAnsi"/>
        </w:rPr>
        <w:t> </w:t>
      </w:r>
      <w:r w:rsidRPr="00B07D79">
        <w:rPr>
          <w:rFonts w:asciiTheme="minorHAnsi" w:hAnsiTheme="minorHAnsi"/>
        </w:rPr>
        <w:t>jiným palivem</w:t>
      </w:r>
      <w:r w:rsidR="006F34B6" w:rsidRPr="00B07D79">
        <w:rPr>
          <w:rFonts w:asciiTheme="minorHAnsi" w:hAnsiTheme="minorHAnsi"/>
        </w:rPr>
        <w:t>,</w:t>
      </w:r>
    </w:p>
    <w:p w14:paraId="668836B8" w14:textId="77777777"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využití čpavku jako přenašeče elektrické energie ve snaze minimalizovat čistě vodíkovou logistiku</w:t>
      </w:r>
      <w:r w:rsidR="006F34B6" w:rsidRPr="00B07D79">
        <w:rPr>
          <w:rFonts w:asciiTheme="minorHAnsi" w:hAnsiTheme="minorHAnsi"/>
        </w:rPr>
        <w:t>,</w:t>
      </w:r>
    </w:p>
    <w:p w14:paraId="12A80FA2" w14:textId="37D17046"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zefektivnění výroby vodíku ze čpavku s</w:t>
      </w:r>
      <w:r w:rsidR="00CF2351" w:rsidRPr="00B07D79">
        <w:rPr>
          <w:rFonts w:asciiTheme="minorHAnsi" w:hAnsiTheme="minorHAnsi"/>
        </w:rPr>
        <w:t> </w:t>
      </w:r>
      <w:r w:rsidRPr="00B07D79">
        <w:rPr>
          <w:rFonts w:asciiTheme="minorHAnsi" w:hAnsiTheme="minorHAnsi"/>
        </w:rPr>
        <w:t>cílem jeho využití v</w:t>
      </w:r>
      <w:r w:rsidR="00CF2351" w:rsidRPr="00B07D79">
        <w:rPr>
          <w:rFonts w:asciiTheme="minorHAnsi" w:hAnsiTheme="minorHAnsi"/>
        </w:rPr>
        <w:t> </w:t>
      </w:r>
      <w:r w:rsidRPr="00B07D79">
        <w:rPr>
          <w:rFonts w:asciiTheme="minorHAnsi" w:hAnsiTheme="minorHAnsi"/>
        </w:rPr>
        <w:t>palivovém článku (případně přímé využití čpavku v</w:t>
      </w:r>
      <w:r w:rsidR="00CF2351" w:rsidRPr="00B07D79">
        <w:rPr>
          <w:rFonts w:asciiTheme="minorHAnsi" w:hAnsiTheme="minorHAnsi"/>
        </w:rPr>
        <w:t> </w:t>
      </w:r>
      <w:r w:rsidRPr="00B07D79">
        <w:rPr>
          <w:rFonts w:asciiTheme="minorHAnsi" w:hAnsiTheme="minorHAnsi"/>
        </w:rPr>
        <w:t>palivovém článku</w:t>
      </w:r>
      <w:r w:rsidR="006F34B6" w:rsidRPr="00B07D79">
        <w:rPr>
          <w:rFonts w:asciiTheme="minorHAnsi" w:hAnsiTheme="minorHAnsi"/>
        </w:rPr>
        <w:t>.</w:t>
      </w:r>
    </w:p>
    <w:p w14:paraId="546C64B6" w14:textId="08C11846" w:rsidR="00BF2BD1" w:rsidRPr="00B07D79" w:rsidRDefault="00BF2BD1" w:rsidP="00B07D79">
      <w:pPr>
        <w:spacing w:line="276" w:lineRule="auto"/>
        <w:jc w:val="both"/>
        <w:rPr>
          <w:rFonts w:asciiTheme="minorHAnsi" w:hAnsiTheme="minorHAnsi"/>
        </w:rPr>
      </w:pPr>
      <w:r w:rsidRPr="00B07D79">
        <w:rPr>
          <w:rFonts w:asciiTheme="minorHAnsi" w:hAnsiTheme="minorHAnsi"/>
        </w:rPr>
        <w:t>Přestože se většinou hovoří o</w:t>
      </w:r>
      <w:r w:rsidR="00CF2351" w:rsidRPr="00B07D79">
        <w:rPr>
          <w:rFonts w:asciiTheme="minorHAnsi" w:hAnsiTheme="minorHAnsi"/>
        </w:rPr>
        <w:t> </w:t>
      </w:r>
      <w:r w:rsidRPr="00B07D79">
        <w:rPr>
          <w:rFonts w:asciiTheme="minorHAnsi" w:hAnsiTheme="minorHAnsi"/>
        </w:rPr>
        <w:t>využití v</w:t>
      </w:r>
      <w:r w:rsidR="00CF2351" w:rsidRPr="00B07D79">
        <w:rPr>
          <w:rFonts w:asciiTheme="minorHAnsi" w:hAnsiTheme="minorHAnsi"/>
        </w:rPr>
        <w:t> </w:t>
      </w:r>
      <w:r w:rsidRPr="00B07D79">
        <w:rPr>
          <w:rFonts w:asciiTheme="minorHAnsi" w:hAnsiTheme="minorHAnsi"/>
        </w:rPr>
        <w:t>lodní dopravě, řada projektů se věnuje i</w:t>
      </w:r>
      <w:r w:rsidR="00CF2351" w:rsidRPr="00B07D79">
        <w:rPr>
          <w:rFonts w:asciiTheme="minorHAnsi" w:hAnsiTheme="minorHAnsi"/>
        </w:rPr>
        <w:t> </w:t>
      </w:r>
      <w:r w:rsidRPr="00B07D79">
        <w:rPr>
          <w:rFonts w:asciiTheme="minorHAnsi" w:hAnsiTheme="minorHAnsi"/>
        </w:rPr>
        <w:t>dopravě nákladní (tahače, traktory), letecké (drony), ale i</w:t>
      </w:r>
      <w:r w:rsidR="00CF2351" w:rsidRPr="00B07D79">
        <w:rPr>
          <w:rFonts w:asciiTheme="minorHAnsi" w:hAnsiTheme="minorHAnsi"/>
        </w:rPr>
        <w:t> </w:t>
      </w:r>
      <w:r w:rsidRPr="00B07D79">
        <w:rPr>
          <w:rFonts w:asciiTheme="minorHAnsi" w:hAnsiTheme="minorHAnsi"/>
        </w:rPr>
        <w:t>osobní.</w:t>
      </w:r>
    </w:p>
    <w:p w14:paraId="5D60700F" w14:textId="649AEB41" w:rsidR="00BF2BD1" w:rsidRPr="00B07D79" w:rsidRDefault="00BF2BD1" w:rsidP="00B07D79">
      <w:pPr>
        <w:spacing w:line="276" w:lineRule="auto"/>
        <w:jc w:val="both"/>
        <w:rPr>
          <w:rFonts w:asciiTheme="minorHAnsi" w:hAnsiTheme="minorHAnsi"/>
        </w:rPr>
      </w:pPr>
      <w:r w:rsidRPr="00B07D79">
        <w:rPr>
          <w:rFonts w:asciiTheme="minorHAnsi" w:hAnsiTheme="minorHAnsi"/>
        </w:rPr>
        <w:t>Výroba a</w:t>
      </w:r>
      <w:r w:rsidR="00CF2351" w:rsidRPr="00B07D79">
        <w:rPr>
          <w:rFonts w:asciiTheme="minorHAnsi" w:hAnsiTheme="minorHAnsi"/>
        </w:rPr>
        <w:t> </w:t>
      </w:r>
      <w:r w:rsidRPr="00B07D79">
        <w:rPr>
          <w:rFonts w:asciiTheme="minorHAnsi" w:hAnsiTheme="minorHAnsi"/>
        </w:rPr>
        <w:t>využití čpavku má v</w:t>
      </w:r>
      <w:r w:rsidR="00CF2351" w:rsidRPr="00B07D79">
        <w:rPr>
          <w:rFonts w:asciiTheme="minorHAnsi" w:hAnsiTheme="minorHAnsi"/>
        </w:rPr>
        <w:t> </w:t>
      </w:r>
      <w:r w:rsidRPr="00B07D79">
        <w:rPr>
          <w:rFonts w:asciiTheme="minorHAnsi" w:hAnsiTheme="minorHAnsi"/>
        </w:rPr>
        <w:t>České republice poměrně dlouhou a</w:t>
      </w:r>
      <w:r w:rsidR="00CF2351" w:rsidRPr="00B07D79">
        <w:rPr>
          <w:rFonts w:asciiTheme="minorHAnsi" w:hAnsiTheme="minorHAnsi"/>
        </w:rPr>
        <w:t> </w:t>
      </w:r>
      <w:r w:rsidRPr="00B07D79">
        <w:rPr>
          <w:rFonts w:asciiTheme="minorHAnsi" w:hAnsiTheme="minorHAnsi"/>
        </w:rPr>
        <w:t>bohatou tradici, zapojení vědy a</w:t>
      </w:r>
      <w:r w:rsidR="00CF2351" w:rsidRPr="00B07D79">
        <w:rPr>
          <w:rFonts w:asciiTheme="minorHAnsi" w:hAnsiTheme="minorHAnsi"/>
        </w:rPr>
        <w:t> </w:t>
      </w:r>
      <w:r w:rsidRPr="00B07D79">
        <w:rPr>
          <w:rFonts w:asciiTheme="minorHAnsi" w:hAnsiTheme="minorHAnsi"/>
        </w:rPr>
        <w:t>výzkumu do rozvoje nových čpavkových technologií se tak přímo nabízí.</w:t>
      </w:r>
    </w:p>
    <w:p w14:paraId="57B7D666" w14:textId="77777777" w:rsidR="00BF2BD1" w:rsidRPr="00B07D79" w:rsidRDefault="00BF2BD1" w:rsidP="00B07D79">
      <w:pPr>
        <w:spacing w:line="276" w:lineRule="auto"/>
        <w:jc w:val="both"/>
        <w:rPr>
          <w:rFonts w:asciiTheme="minorHAnsi" w:hAnsiTheme="minorHAnsi" w:cs="Arial"/>
          <w:iCs/>
          <w:sz w:val="24"/>
          <w:szCs w:val="28"/>
        </w:rPr>
      </w:pPr>
      <w:r w:rsidRPr="00B07D79">
        <w:rPr>
          <w:rFonts w:asciiTheme="minorHAnsi" w:hAnsiTheme="minorHAnsi"/>
        </w:rPr>
        <w:br w:type="page"/>
      </w:r>
    </w:p>
    <w:p w14:paraId="42A8F6EC" w14:textId="77777777" w:rsidR="00BF2BD1" w:rsidRPr="003C103E" w:rsidRDefault="00BF2BD1" w:rsidP="0074122A">
      <w:pPr>
        <w:pStyle w:val="Nadpis2"/>
        <w:rPr>
          <w:sz w:val="32"/>
          <w:szCs w:val="36"/>
        </w:rPr>
      </w:pPr>
      <w:bookmarkStart w:id="336" w:name="_Toc152329841"/>
      <w:bookmarkStart w:id="337" w:name="_Toc149911233"/>
      <w:bookmarkStart w:id="338" w:name="_Toc159264347"/>
      <w:bookmarkStart w:id="339" w:name="_Toc153208252"/>
      <w:bookmarkStart w:id="340" w:name="_Toc159332180"/>
      <w:bookmarkStart w:id="341" w:name="_Toc159336661"/>
      <w:bookmarkStart w:id="342" w:name="_Toc160021764"/>
      <w:bookmarkStart w:id="343" w:name="_Toc162447454"/>
      <w:bookmarkStart w:id="344" w:name="_Toc173240088"/>
      <w:r w:rsidRPr="003C103E">
        <w:rPr>
          <w:sz w:val="32"/>
          <w:szCs w:val="36"/>
        </w:rPr>
        <w:lastRenderedPageBreak/>
        <w:t>Syntetická paliva</w:t>
      </w:r>
      <w:bookmarkEnd w:id="336"/>
      <w:bookmarkEnd w:id="337"/>
      <w:bookmarkEnd w:id="338"/>
      <w:bookmarkEnd w:id="339"/>
      <w:bookmarkEnd w:id="340"/>
      <w:bookmarkEnd w:id="341"/>
      <w:bookmarkEnd w:id="342"/>
      <w:bookmarkEnd w:id="343"/>
      <w:bookmarkEnd w:id="344"/>
    </w:p>
    <w:p w14:paraId="67159CD7" w14:textId="24206BE3" w:rsidR="00BF2BD1" w:rsidRPr="00B07D79" w:rsidRDefault="00BF2BD1" w:rsidP="00B07D79">
      <w:pPr>
        <w:spacing w:line="276" w:lineRule="auto"/>
        <w:jc w:val="both"/>
        <w:rPr>
          <w:rFonts w:asciiTheme="minorHAnsi" w:hAnsiTheme="minorHAnsi"/>
          <w:noProof/>
          <w:sz w:val="24"/>
        </w:rPr>
      </w:pPr>
      <w:r w:rsidRPr="00B07D79">
        <w:rPr>
          <w:rFonts w:asciiTheme="minorHAnsi" w:hAnsiTheme="minorHAnsi"/>
        </w:rPr>
        <w:t xml:space="preserve">Syntetická paliva, označovaná také „PtX“ </w:t>
      </w:r>
      <w:r w:rsidRPr="00B07D79">
        <w:rPr>
          <w:rFonts w:asciiTheme="minorHAnsi" w:hAnsiTheme="minorHAnsi"/>
          <w:lang w:val="en-GB"/>
        </w:rPr>
        <w:t>(power-to</w:t>
      </w:r>
      <w:r w:rsidRPr="00B07D79">
        <w:rPr>
          <w:rFonts w:asciiTheme="minorHAnsi" w:hAnsiTheme="minorHAnsi"/>
        </w:rPr>
        <w:t>-X) nebo „e-</w:t>
      </w:r>
      <w:r w:rsidRPr="00B07D79">
        <w:rPr>
          <w:rFonts w:asciiTheme="minorHAnsi" w:hAnsiTheme="minorHAnsi"/>
          <w:lang w:val="en-GB"/>
        </w:rPr>
        <w:t>fuels</w:t>
      </w:r>
      <w:r w:rsidRPr="00B07D79">
        <w:rPr>
          <w:rFonts w:asciiTheme="minorHAnsi" w:hAnsiTheme="minorHAnsi"/>
        </w:rPr>
        <w:t>“, jsou kapalná nebo</w:t>
      </w:r>
      <w:r w:rsidR="00422864" w:rsidRPr="00B07D79">
        <w:rPr>
          <w:rFonts w:asciiTheme="minorHAnsi" w:hAnsiTheme="minorHAnsi"/>
        </w:rPr>
        <w:t> </w:t>
      </w:r>
      <w:r w:rsidRPr="00B07D79">
        <w:rPr>
          <w:rFonts w:asciiTheme="minorHAnsi" w:hAnsiTheme="minorHAnsi"/>
        </w:rPr>
        <w:t>plynná paliva určená pro použití ve vozech s</w:t>
      </w:r>
      <w:r w:rsidR="00CF2351" w:rsidRPr="00B07D79">
        <w:rPr>
          <w:rFonts w:asciiTheme="minorHAnsi" w:hAnsiTheme="minorHAnsi"/>
        </w:rPr>
        <w:t> </w:t>
      </w:r>
      <w:r w:rsidRPr="00B07D79">
        <w:rPr>
          <w:rFonts w:asciiTheme="minorHAnsi" w:hAnsiTheme="minorHAnsi"/>
        </w:rPr>
        <w:t>motorem s</w:t>
      </w:r>
      <w:r w:rsidR="00CF2351" w:rsidRPr="00B07D79">
        <w:rPr>
          <w:rFonts w:asciiTheme="minorHAnsi" w:hAnsiTheme="minorHAnsi"/>
        </w:rPr>
        <w:t> </w:t>
      </w:r>
      <w:r w:rsidRPr="00B07D79">
        <w:rPr>
          <w:rFonts w:asciiTheme="minorHAnsi" w:hAnsiTheme="minorHAnsi"/>
        </w:rPr>
        <w:t>vnitřním spalováním (ICE).</w:t>
      </w:r>
      <w:r w:rsidRPr="00B07D79">
        <w:rPr>
          <w:rFonts w:asciiTheme="minorHAnsi" w:hAnsiTheme="minorHAnsi"/>
          <w:noProof/>
        </w:rPr>
        <w:t xml:space="preserve"> </w:t>
      </w:r>
    </w:p>
    <w:p w14:paraId="432ECD88" w14:textId="77777777" w:rsidR="00BF2BD1" w:rsidRPr="003C103E" w:rsidRDefault="00BF2BD1" w:rsidP="00B07D79">
      <w:pPr>
        <w:spacing w:line="276" w:lineRule="auto"/>
        <w:jc w:val="both"/>
        <w:rPr>
          <w:rFonts w:asciiTheme="minorHAnsi" w:hAnsiTheme="minorHAnsi"/>
          <w:noProof/>
          <w:color w:val="385623" w:themeColor="accent6" w:themeShade="80"/>
          <w:sz w:val="24"/>
          <w:szCs w:val="28"/>
        </w:rPr>
      </w:pPr>
      <w:r w:rsidRPr="003C103E">
        <w:rPr>
          <w:rFonts w:asciiTheme="minorHAnsi" w:hAnsiTheme="minorHAnsi"/>
          <w:noProof/>
          <w:color w:val="385623" w:themeColor="accent6" w:themeShade="80"/>
          <w:sz w:val="24"/>
          <w:szCs w:val="28"/>
        </w:rPr>
        <w:t>Přínos syntetických paliv</w:t>
      </w:r>
    </w:p>
    <w:p w14:paraId="758FA3AF" w14:textId="07A41CDB" w:rsidR="00BF2BD1" w:rsidRPr="00B07D79" w:rsidRDefault="00BF2BD1" w:rsidP="00B07D79">
      <w:pPr>
        <w:spacing w:line="276" w:lineRule="auto"/>
        <w:jc w:val="both"/>
        <w:rPr>
          <w:rFonts w:asciiTheme="minorHAnsi" w:hAnsiTheme="minorHAnsi"/>
        </w:rPr>
      </w:pPr>
      <w:r w:rsidRPr="00B07D79">
        <w:rPr>
          <w:rFonts w:asciiTheme="minorHAnsi" w:hAnsiTheme="minorHAnsi"/>
        </w:rPr>
        <w:t>Hlavním důvodem, proč technologie syntetických paliv vznikla a</w:t>
      </w:r>
      <w:r w:rsidR="00CF2351" w:rsidRPr="00B07D79">
        <w:rPr>
          <w:rFonts w:asciiTheme="minorHAnsi" w:hAnsiTheme="minorHAnsi"/>
        </w:rPr>
        <w:t> </w:t>
      </w:r>
      <w:r w:rsidRPr="00B07D79">
        <w:rPr>
          <w:rFonts w:asciiTheme="minorHAnsi" w:hAnsiTheme="minorHAnsi"/>
        </w:rPr>
        <w:t>je dále vyvíjena, je skutečnost, že dekarbonizace dopravy není myslitelná bez dalšího využívání kapalných paliv. Elektřina ze</w:t>
      </w:r>
      <w:r w:rsidR="00422864" w:rsidRPr="00B07D79">
        <w:rPr>
          <w:rFonts w:asciiTheme="minorHAnsi" w:hAnsiTheme="minorHAnsi"/>
        </w:rPr>
        <w:t> </w:t>
      </w:r>
      <w:r w:rsidRPr="00B07D79">
        <w:rPr>
          <w:rFonts w:asciiTheme="minorHAnsi" w:hAnsiTheme="minorHAnsi"/>
        </w:rPr>
        <w:t>zásuvky má, a</w:t>
      </w:r>
      <w:r w:rsidR="00CF2351" w:rsidRPr="00B07D79">
        <w:rPr>
          <w:rFonts w:asciiTheme="minorHAnsi" w:hAnsiTheme="minorHAnsi"/>
        </w:rPr>
        <w:t> </w:t>
      </w:r>
      <w:r w:rsidRPr="00B07D79">
        <w:rPr>
          <w:rFonts w:asciiTheme="minorHAnsi" w:hAnsiTheme="minorHAnsi"/>
        </w:rPr>
        <w:t>ještě dlouhou dobu bude mít zásadní technologická omezení zejména v</w:t>
      </w:r>
      <w:r w:rsidR="00CF2351" w:rsidRPr="00B07D79">
        <w:rPr>
          <w:rFonts w:asciiTheme="minorHAnsi" w:hAnsiTheme="minorHAnsi"/>
        </w:rPr>
        <w:t> </w:t>
      </w:r>
      <w:r w:rsidRPr="00B07D79">
        <w:rPr>
          <w:rFonts w:asciiTheme="minorHAnsi" w:hAnsiTheme="minorHAnsi"/>
        </w:rPr>
        <w:t>těžké nákladní, lodní a</w:t>
      </w:r>
      <w:r w:rsidR="00CF2351" w:rsidRPr="00B07D79">
        <w:rPr>
          <w:rFonts w:asciiTheme="minorHAnsi" w:hAnsiTheme="minorHAnsi"/>
        </w:rPr>
        <w:t> </w:t>
      </w:r>
      <w:r w:rsidRPr="00B07D79">
        <w:rPr>
          <w:rFonts w:asciiTheme="minorHAnsi" w:hAnsiTheme="minorHAnsi"/>
        </w:rPr>
        <w:t>letecké přepravě. Pro tyto typy přepravy jsou kapalná nebo plynná paliva nezbytností. Stejně tak je nutno počítat s</w:t>
      </w:r>
      <w:r w:rsidR="00CF2351" w:rsidRPr="00B07D79">
        <w:rPr>
          <w:rFonts w:asciiTheme="minorHAnsi" w:hAnsiTheme="minorHAnsi"/>
        </w:rPr>
        <w:t> </w:t>
      </w:r>
      <w:r w:rsidRPr="00B07D79">
        <w:rPr>
          <w:rFonts w:asciiTheme="minorHAnsi" w:hAnsiTheme="minorHAnsi"/>
        </w:rPr>
        <w:t>potřebou a</w:t>
      </w:r>
      <w:r w:rsidR="00CF2351" w:rsidRPr="00B07D79">
        <w:rPr>
          <w:rFonts w:asciiTheme="minorHAnsi" w:hAnsiTheme="minorHAnsi"/>
        </w:rPr>
        <w:t> </w:t>
      </w:r>
      <w:r w:rsidRPr="00B07D79">
        <w:rPr>
          <w:rFonts w:asciiTheme="minorHAnsi" w:hAnsiTheme="minorHAnsi"/>
        </w:rPr>
        <w:t>nasazením dlouhodobě skladovatelných zdrojů energie například u</w:t>
      </w:r>
      <w:r w:rsidR="00CF2351" w:rsidRPr="00B07D79">
        <w:rPr>
          <w:rFonts w:asciiTheme="minorHAnsi" w:hAnsiTheme="minorHAnsi"/>
        </w:rPr>
        <w:t> </w:t>
      </w:r>
      <w:r w:rsidRPr="00B07D79">
        <w:rPr>
          <w:rFonts w:asciiTheme="minorHAnsi" w:hAnsiTheme="minorHAnsi"/>
        </w:rPr>
        <w:t>vozidel armády nebo integrovaného záchranného systému. Z</w:t>
      </w:r>
      <w:r w:rsidR="00CF2351" w:rsidRPr="00B07D79">
        <w:rPr>
          <w:rFonts w:asciiTheme="minorHAnsi" w:hAnsiTheme="minorHAnsi"/>
        </w:rPr>
        <w:t> </w:t>
      </w:r>
      <w:r w:rsidRPr="00B07D79">
        <w:rPr>
          <w:rFonts w:asciiTheme="minorHAnsi" w:hAnsiTheme="minorHAnsi"/>
        </w:rPr>
        <w:t>krátkodobějšího hlediska je obrovským přínosem syntetických paliv to, že jsou plně kompatibilní (libovolně mísitelná) s</w:t>
      </w:r>
      <w:r w:rsidR="00CF2351" w:rsidRPr="00B07D79">
        <w:rPr>
          <w:rFonts w:asciiTheme="minorHAnsi" w:hAnsiTheme="minorHAnsi"/>
        </w:rPr>
        <w:t> </w:t>
      </w:r>
      <w:r w:rsidRPr="00B07D79">
        <w:rPr>
          <w:rFonts w:asciiTheme="minorHAnsi" w:hAnsiTheme="minorHAnsi"/>
        </w:rPr>
        <w:t>konvenčními fosilními zdroji. Nevyvolávají tak naprosto žádné náklady na rozvoj distribuční infrastruktury. Výhodou také je, že ani z</w:t>
      </w:r>
      <w:r w:rsidR="00CF2351" w:rsidRPr="00B07D79">
        <w:rPr>
          <w:rFonts w:asciiTheme="minorHAnsi" w:hAnsiTheme="minorHAnsi"/>
        </w:rPr>
        <w:t> </w:t>
      </w:r>
      <w:r w:rsidRPr="00B07D79">
        <w:rPr>
          <w:rFonts w:asciiTheme="minorHAnsi" w:hAnsiTheme="minorHAnsi"/>
        </w:rPr>
        <w:t>pohledu konečného zákazníka nejde o</w:t>
      </w:r>
      <w:r w:rsidR="00CF2351" w:rsidRPr="00B07D79">
        <w:rPr>
          <w:rFonts w:asciiTheme="minorHAnsi" w:hAnsiTheme="minorHAnsi"/>
        </w:rPr>
        <w:t> </w:t>
      </w:r>
      <w:r w:rsidRPr="00B07D79">
        <w:rPr>
          <w:rFonts w:asciiTheme="minorHAnsi" w:hAnsiTheme="minorHAnsi"/>
        </w:rPr>
        <w:t>žádnou změnu – do stejného vozu u</w:t>
      </w:r>
      <w:r w:rsidR="00CF2351" w:rsidRPr="00B07D79">
        <w:rPr>
          <w:rFonts w:asciiTheme="minorHAnsi" w:hAnsiTheme="minorHAnsi"/>
        </w:rPr>
        <w:t> </w:t>
      </w:r>
      <w:r w:rsidRPr="00B07D79">
        <w:rPr>
          <w:rFonts w:asciiTheme="minorHAnsi" w:hAnsiTheme="minorHAnsi"/>
        </w:rPr>
        <w:t>stejné pumpy tankuje chemicky a</w:t>
      </w:r>
      <w:r w:rsidR="00CF2351" w:rsidRPr="00B07D79">
        <w:rPr>
          <w:rFonts w:asciiTheme="minorHAnsi" w:hAnsiTheme="minorHAnsi"/>
        </w:rPr>
        <w:t> </w:t>
      </w:r>
      <w:r w:rsidRPr="00B07D79">
        <w:rPr>
          <w:rFonts w:asciiTheme="minorHAnsi" w:hAnsiTheme="minorHAnsi"/>
        </w:rPr>
        <w:t>fyzikálně stejné palivo. Přitom právě odpor části veřejnosti proti revolučním změnám může být jednou z</w:t>
      </w:r>
      <w:r w:rsidR="00CF2351" w:rsidRPr="00B07D79">
        <w:rPr>
          <w:rFonts w:asciiTheme="minorHAnsi" w:hAnsiTheme="minorHAnsi"/>
        </w:rPr>
        <w:t> </w:t>
      </w:r>
      <w:r w:rsidRPr="00B07D79">
        <w:rPr>
          <w:rFonts w:asciiTheme="minorHAnsi" w:hAnsiTheme="minorHAnsi"/>
        </w:rPr>
        <w:t>klíčových komplikací rychlejší dekarbonizace dopravy.</w:t>
      </w:r>
    </w:p>
    <w:p w14:paraId="22876324" w14:textId="3E5C131A" w:rsidR="00BF2BD1" w:rsidRPr="00B07D79" w:rsidRDefault="00BF2BD1" w:rsidP="00B07D79">
      <w:pPr>
        <w:spacing w:line="276" w:lineRule="auto"/>
        <w:jc w:val="both"/>
        <w:rPr>
          <w:rFonts w:asciiTheme="minorHAnsi" w:hAnsiTheme="minorHAnsi"/>
        </w:rPr>
      </w:pPr>
      <w:r w:rsidRPr="00B07D79">
        <w:rPr>
          <w:rFonts w:asciiTheme="minorHAnsi" w:hAnsiTheme="minorHAnsi"/>
        </w:rPr>
        <w:t xml:space="preserve">Podle studií, které se zabývaly různými scénáři dekarbonizace dopravy (např. Ricardo: </w:t>
      </w:r>
      <w:r w:rsidRPr="00B07D79">
        <w:rPr>
          <w:rFonts w:asciiTheme="minorHAnsi" w:hAnsiTheme="minorHAnsi"/>
          <w:lang w:val="en-GB"/>
        </w:rPr>
        <w:t>Impact Analysis of Mass EV Adoption and Low Carbon Intensity Fuels Scenarios</w:t>
      </w:r>
      <w:r w:rsidRPr="00B07D79">
        <w:rPr>
          <w:rFonts w:asciiTheme="minorHAnsi" w:hAnsiTheme="minorHAnsi"/>
        </w:rPr>
        <w:t>) se ukazuje, že</w:t>
      </w:r>
      <w:r w:rsidR="00422864" w:rsidRPr="00B07D79">
        <w:rPr>
          <w:rFonts w:asciiTheme="minorHAnsi" w:hAnsiTheme="minorHAnsi"/>
        </w:rPr>
        <w:t> </w:t>
      </w:r>
      <w:r w:rsidRPr="00B07D79">
        <w:rPr>
          <w:rFonts w:asciiTheme="minorHAnsi" w:hAnsiTheme="minorHAnsi"/>
        </w:rPr>
        <w:t>pomalejší proces elektrifikace a</w:t>
      </w:r>
      <w:r w:rsidR="00CF2351" w:rsidRPr="00B07D79">
        <w:rPr>
          <w:rFonts w:asciiTheme="minorHAnsi" w:hAnsiTheme="minorHAnsi"/>
        </w:rPr>
        <w:t> </w:t>
      </w:r>
      <w:r w:rsidRPr="00B07D79">
        <w:rPr>
          <w:rFonts w:asciiTheme="minorHAnsi" w:hAnsiTheme="minorHAnsi"/>
        </w:rPr>
        <w:t>větší nasazení syntetických paliv a</w:t>
      </w:r>
      <w:r w:rsidR="00CF2351" w:rsidRPr="00B07D79">
        <w:rPr>
          <w:rFonts w:asciiTheme="minorHAnsi" w:hAnsiTheme="minorHAnsi"/>
        </w:rPr>
        <w:t> </w:t>
      </w:r>
      <w:r w:rsidRPr="00B07D79">
        <w:rPr>
          <w:rFonts w:asciiTheme="minorHAnsi" w:hAnsiTheme="minorHAnsi"/>
        </w:rPr>
        <w:t>biopaliv vyšších generací je ve srovnání s</w:t>
      </w:r>
      <w:r w:rsidR="00CF2351" w:rsidRPr="00B07D79">
        <w:rPr>
          <w:rFonts w:asciiTheme="minorHAnsi" w:hAnsiTheme="minorHAnsi"/>
        </w:rPr>
        <w:t> </w:t>
      </w:r>
      <w:r w:rsidRPr="00B07D79">
        <w:rPr>
          <w:rFonts w:asciiTheme="minorHAnsi" w:hAnsiTheme="minorHAnsi"/>
        </w:rPr>
        <w:t>rychlou elektrifikací výrazně ekonomičtější a</w:t>
      </w:r>
      <w:r w:rsidR="00CF2351" w:rsidRPr="00B07D79">
        <w:rPr>
          <w:rFonts w:asciiTheme="minorHAnsi" w:hAnsiTheme="minorHAnsi"/>
        </w:rPr>
        <w:t> </w:t>
      </w:r>
      <w:r w:rsidRPr="00B07D79">
        <w:rPr>
          <w:rFonts w:asciiTheme="minorHAnsi" w:hAnsiTheme="minorHAnsi"/>
        </w:rPr>
        <w:t>přináší rychlejší a</w:t>
      </w:r>
      <w:r w:rsidR="00CF2351" w:rsidRPr="00B07D79">
        <w:rPr>
          <w:rFonts w:asciiTheme="minorHAnsi" w:hAnsiTheme="minorHAnsi"/>
        </w:rPr>
        <w:t> </w:t>
      </w:r>
      <w:r w:rsidRPr="00B07D79">
        <w:rPr>
          <w:rFonts w:asciiTheme="minorHAnsi" w:hAnsiTheme="minorHAnsi"/>
        </w:rPr>
        <w:t>vyšší emisní úspory. Syntetická paliva tak mohou v</w:t>
      </w:r>
      <w:r w:rsidR="00CF2351" w:rsidRPr="00B07D79">
        <w:rPr>
          <w:rFonts w:asciiTheme="minorHAnsi" w:hAnsiTheme="minorHAnsi"/>
        </w:rPr>
        <w:t> </w:t>
      </w:r>
      <w:r w:rsidRPr="00B07D79">
        <w:rPr>
          <w:rFonts w:asciiTheme="minorHAnsi" w:hAnsiTheme="minorHAnsi"/>
        </w:rPr>
        <w:t>blízké budoucnosti sehrát při plnění závěrů COP klíčovou roli.</w:t>
      </w:r>
    </w:p>
    <w:p w14:paraId="3EF32B94" w14:textId="77777777" w:rsidR="00BF2BD1" w:rsidRPr="003C103E" w:rsidRDefault="00BF2BD1" w:rsidP="00B07D79">
      <w:pPr>
        <w:spacing w:line="276" w:lineRule="auto"/>
        <w:jc w:val="both"/>
        <w:rPr>
          <w:rFonts w:asciiTheme="minorHAnsi" w:hAnsiTheme="minorHAnsi"/>
          <w:noProof/>
          <w:sz w:val="24"/>
          <w:szCs w:val="28"/>
        </w:rPr>
      </w:pPr>
      <w:r w:rsidRPr="003C103E">
        <w:rPr>
          <w:rFonts w:asciiTheme="minorHAnsi" w:hAnsiTheme="minorHAnsi"/>
          <w:noProof/>
          <w:sz w:val="24"/>
          <w:szCs w:val="28"/>
        </w:rPr>
        <w:t>Popis výroby</w:t>
      </w:r>
    </w:p>
    <w:p w14:paraId="11DB9BE5" w14:textId="7EB6F57E" w:rsidR="00BF2BD1" w:rsidRPr="00B07D79" w:rsidRDefault="00BF2BD1" w:rsidP="00B07D79">
      <w:pPr>
        <w:spacing w:line="276" w:lineRule="auto"/>
        <w:jc w:val="both"/>
        <w:rPr>
          <w:rFonts w:asciiTheme="minorHAnsi" w:hAnsiTheme="minorHAnsi"/>
          <w:noProof/>
        </w:rPr>
      </w:pPr>
      <w:r w:rsidRPr="00B07D79">
        <w:rPr>
          <w:rFonts w:asciiTheme="minorHAnsi" w:hAnsiTheme="minorHAnsi"/>
          <w:noProof/>
        </w:rPr>
        <w:t>Výhodou níže popisované technologie je, že může být využita v</w:t>
      </w:r>
      <w:r w:rsidR="00CF2351" w:rsidRPr="00B07D79">
        <w:rPr>
          <w:rFonts w:asciiTheme="minorHAnsi" w:hAnsiTheme="minorHAnsi"/>
          <w:noProof/>
        </w:rPr>
        <w:t> </w:t>
      </w:r>
      <w:r w:rsidRPr="00B07D79">
        <w:rPr>
          <w:rFonts w:asciiTheme="minorHAnsi" w:hAnsiTheme="minorHAnsi"/>
          <w:noProof/>
        </w:rPr>
        <w:t>malých decentralizovaných výrobnách. Tím se snižují náklady na vstupy na jedné straně a</w:t>
      </w:r>
      <w:r w:rsidR="00CF2351" w:rsidRPr="00B07D79">
        <w:rPr>
          <w:rFonts w:asciiTheme="minorHAnsi" w:hAnsiTheme="minorHAnsi"/>
          <w:noProof/>
        </w:rPr>
        <w:t> </w:t>
      </w:r>
      <w:r w:rsidRPr="00B07D79">
        <w:rPr>
          <w:rFonts w:asciiTheme="minorHAnsi" w:hAnsiTheme="minorHAnsi"/>
          <w:noProof/>
        </w:rPr>
        <w:t>na distribuci na straně druhé.</w:t>
      </w:r>
    </w:p>
    <w:p w14:paraId="30F84C7A" w14:textId="0BC2ED6F" w:rsidR="00BF2BD1" w:rsidRPr="00B07D79" w:rsidRDefault="00BF2BD1" w:rsidP="00B07D79">
      <w:pPr>
        <w:spacing w:line="276" w:lineRule="auto"/>
        <w:jc w:val="both"/>
        <w:rPr>
          <w:rFonts w:asciiTheme="minorHAnsi" w:hAnsiTheme="minorHAnsi"/>
          <w:noProof/>
        </w:rPr>
      </w:pPr>
      <w:r w:rsidRPr="00B07D79">
        <w:rPr>
          <w:rFonts w:asciiTheme="minorHAnsi" w:hAnsiTheme="minorHAnsi"/>
          <w:noProof/>
        </w:rPr>
        <w:t>Schéma výroby je naznačeno v</w:t>
      </w:r>
      <w:r w:rsidR="00CF2351" w:rsidRPr="00B07D79">
        <w:rPr>
          <w:rFonts w:asciiTheme="minorHAnsi" w:hAnsiTheme="minorHAnsi"/>
          <w:noProof/>
        </w:rPr>
        <w:t> </w:t>
      </w:r>
      <w:r w:rsidRPr="00B07D79">
        <w:rPr>
          <w:rFonts w:asciiTheme="minorHAnsi" w:hAnsiTheme="minorHAnsi"/>
          <w:noProof/>
        </w:rPr>
        <w:t>následujícím obrázku:</w:t>
      </w:r>
    </w:p>
    <w:p w14:paraId="409AA535" w14:textId="77ACEC45" w:rsidR="00BF2BD1" w:rsidRPr="003C103E" w:rsidRDefault="00BF2BD1" w:rsidP="00B07D79">
      <w:pPr>
        <w:pStyle w:val="Titulek"/>
        <w:keepNext/>
        <w:spacing w:line="276" w:lineRule="auto"/>
        <w:jc w:val="both"/>
        <w:rPr>
          <w:rFonts w:asciiTheme="minorHAnsi" w:hAnsiTheme="minorHAnsi"/>
          <w:b w:val="0"/>
          <w:bCs w:val="0"/>
          <w:color w:val="385623" w:themeColor="accent6" w:themeShade="80"/>
        </w:rPr>
      </w:pPr>
      <w:r w:rsidRPr="003C103E">
        <w:rPr>
          <w:rFonts w:asciiTheme="minorHAnsi" w:hAnsiTheme="minorHAnsi"/>
          <w:b w:val="0"/>
          <w:bCs w:val="0"/>
          <w:color w:val="385623" w:themeColor="accent6" w:themeShade="80"/>
        </w:rPr>
        <w:t xml:space="preserve">Obrázek </w:t>
      </w:r>
      <w:r w:rsidR="007D4BC4" w:rsidRPr="003C103E">
        <w:rPr>
          <w:rFonts w:asciiTheme="minorHAnsi" w:hAnsiTheme="minorHAnsi"/>
          <w:b w:val="0"/>
          <w:bCs w:val="0"/>
          <w:color w:val="385623" w:themeColor="accent6" w:themeShade="80"/>
        </w:rPr>
        <w:t xml:space="preserve">40 </w:t>
      </w:r>
      <w:r w:rsidRPr="003C103E">
        <w:rPr>
          <w:rFonts w:asciiTheme="minorHAnsi" w:hAnsiTheme="minorHAnsi"/>
          <w:b w:val="0"/>
          <w:bCs w:val="0"/>
          <w:color w:val="385623" w:themeColor="accent6" w:themeShade="80"/>
        </w:rPr>
        <w:t>Principiální schéma výroby syntetických paliv</w:t>
      </w:r>
    </w:p>
    <w:p w14:paraId="5B9BF405" w14:textId="77777777" w:rsidR="00BF2BD1" w:rsidRPr="00B07D79" w:rsidRDefault="008D3A19" w:rsidP="00B07D79">
      <w:pPr>
        <w:spacing w:line="276" w:lineRule="auto"/>
        <w:jc w:val="both"/>
        <w:rPr>
          <w:rFonts w:asciiTheme="minorHAnsi" w:hAnsiTheme="minorHAnsi"/>
        </w:rPr>
      </w:pPr>
      <w:r w:rsidRPr="00B07D79">
        <w:rPr>
          <w:rFonts w:asciiTheme="minorHAnsi" w:hAnsiTheme="minorHAnsi"/>
          <w:noProof/>
        </w:rPr>
        <w:drawing>
          <wp:inline distT="0" distB="0" distL="0" distR="0" wp14:anchorId="08ED441A" wp14:editId="115A5C96">
            <wp:extent cx="5760720" cy="2685415"/>
            <wp:effectExtent l="0" t="0" r="0" b="635"/>
            <wp:docPr id="1636474777" name="Obrázek 163647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80519" name="Obrázek 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760720" cy="2685415"/>
                    </a:xfrm>
                    <a:prstGeom prst="rect">
                      <a:avLst/>
                    </a:prstGeom>
                    <a:noFill/>
                    <a:ln>
                      <a:noFill/>
                    </a:ln>
                  </pic:spPr>
                </pic:pic>
              </a:graphicData>
            </a:graphic>
          </wp:inline>
        </w:drawing>
      </w:r>
    </w:p>
    <w:p w14:paraId="09B7627A"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lastRenderedPageBreak/>
        <w:t>Primárním energetickým vstupem je elektřina. Samozřejmě je možno využívat jako zdroj elektřinu ze sítě. Úspory emisí proti běžným palivům pak závisí na složení energetického mixu. Elektrolýzou vody je získáván čistý vodík.</w:t>
      </w:r>
    </w:p>
    <w:p w14:paraId="5B49A6E1" w14:textId="07F77065" w:rsidR="00BF2BD1" w:rsidRPr="00B07D79" w:rsidRDefault="00BF2BD1" w:rsidP="00B07D79">
      <w:pPr>
        <w:spacing w:line="276" w:lineRule="auto"/>
        <w:jc w:val="both"/>
        <w:rPr>
          <w:rFonts w:asciiTheme="minorHAnsi" w:hAnsiTheme="minorHAnsi"/>
        </w:rPr>
      </w:pPr>
      <w:r w:rsidRPr="00B07D79">
        <w:rPr>
          <w:rFonts w:asciiTheme="minorHAnsi" w:hAnsiTheme="minorHAnsi"/>
        </w:rPr>
        <w:t>Druhou vstupní surovinou je kysličník uhličitý (CO</w:t>
      </w:r>
      <w:r w:rsidRPr="00B07D79">
        <w:rPr>
          <w:rFonts w:asciiTheme="minorHAnsi" w:hAnsiTheme="minorHAnsi"/>
          <w:vertAlign w:val="subscript"/>
        </w:rPr>
        <w:t>2</w:t>
      </w:r>
      <w:r w:rsidRPr="00B07D79">
        <w:rPr>
          <w:rFonts w:asciiTheme="minorHAnsi" w:hAnsiTheme="minorHAnsi"/>
        </w:rPr>
        <w:t>). Může jít jak o</w:t>
      </w:r>
      <w:r w:rsidR="00CF2351" w:rsidRPr="00B07D79">
        <w:rPr>
          <w:rFonts w:asciiTheme="minorHAnsi" w:hAnsiTheme="minorHAnsi"/>
        </w:rPr>
        <w:t> </w:t>
      </w:r>
      <w:r w:rsidRPr="00B07D79">
        <w:rPr>
          <w:rFonts w:asciiTheme="minorHAnsi" w:hAnsiTheme="minorHAnsi"/>
        </w:rPr>
        <w:t>vzdušný CO</w:t>
      </w:r>
      <w:r w:rsidRPr="00B07D79">
        <w:rPr>
          <w:rFonts w:asciiTheme="minorHAnsi" w:hAnsiTheme="minorHAnsi"/>
          <w:vertAlign w:val="subscript"/>
        </w:rPr>
        <w:t>2</w:t>
      </w:r>
      <w:r w:rsidRPr="00B07D79">
        <w:rPr>
          <w:rFonts w:asciiTheme="minorHAnsi" w:hAnsiTheme="minorHAnsi"/>
        </w:rPr>
        <w:t xml:space="preserve"> (získáván z</w:t>
      </w:r>
      <w:r w:rsidR="00CF2351" w:rsidRPr="00B07D79">
        <w:rPr>
          <w:rFonts w:asciiTheme="minorHAnsi" w:hAnsiTheme="minorHAnsi"/>
        </w:rPr>
        <w:t> </w:t>
      </w:r>
      <w:r w:rsidRPr="00B07D79">
        <w:rPr>
          <w:rFonts w:asciiTheme="minorHAnsi" w:hAnsiTheme="minorHAnsi"/>
        </w:rPr>
        <w:t>okolního prostředí) nebo o</w:t>
      </w:r>
      <w:r w:rsidR="00CF2351" w:rsidRPr="00B07D79">
        <w:rPr>
          <w:rFonts w:asciiTheme="minorHAnsi" w:hAnsiTheme="minorHAnsi"/>
        </w:rPr>
        <w:t> </w:t>
      </w:r>
      <w:r w:rsidRPr="00B07D79">
        <w:rPr>
          <w:rFonts w:asciiTheme="minorHAnsi" w:hAnsiTheme="minorHAnsi"/>
        </w:rPr>
        <w:t>odpadní produkt z</w:t>
      </w:r>
      <w:r w:rsidR="00CF2351" w:rsidRPr="00B07D79">
        <w:rPr>
          <w:rFonts w:asciiTheme="minorHAnsi" w:hAnsiTheme="minorHAnsi"/>
        </w:rPr>
        <w:t> </w:t>
      </w:r>
      <w:r w:rsidRPr="00B07D79">
        <w:rPr>
          <w:rFonts w:asciiTheme="minorHAnsi" w:hAnsiTheme="minorHAnsi"/>
        </w:rPr>
        <w:t>jiné technologie. V</w:t>
      </w:r>
      <w:r w:rsidR="00CF2351" w:rsidRPr="00B07D79">
        <w:rPr>
          <w:rFonts w:asciiTheme="minorHAnsi" w:hAnsiTheme="minorHAnsi"/>
        </w:rPr>
        <w:t> </w:t>
      </w:r>
      <w:r w:rsidRPr="00B07D79">
        <w:rPr>
          <w:rFonts w:asciiTheme="minorHAnsi" w:hAnsiTheme="minorHAnsi"/>
        </w:rPr>
        <w:t>takovém případě se opět projevuje výhoda decentralizované výroby, výrobní jednotka může být umístěna přímo u</w:t>
      </w:r>
      <w:r w:rsidR="00CF2351" w:rsidRPr="00B07D79">
        <w:rPr>
          <w:rFonts w:asciiTheme="minorHAnsi" w:hAnsiTheme="minorHAnsi"/>
        </w:rPr>
        <w:t> </w:t>
      </w:r>
      <w:r w:rsidRPr="00B07D79">
        <w:rPr>
          <w:rFonts w:asciiTheme="minorHAnsi" w:hAnsiTheme="minorHAnsi"/>
        </w:rPr>
        <w:t>zdroje CO</w:t>
      </w:r>
      <w:r w:rsidRPr="00B07D79">
        <w:rPr>
          <w:rFonts w:asciiTheme="minorHAnsi" w:hAnsiTheme="minorHAnsi"/>
          <w:vertAlign w:val="subscript"/>
        </w:rPr>
        <w:t>2</w:t>
      </w:r>
      <w:r w:rsidRPr="00B07D79">
        <w:rPr>
          <w:rFonts w:asciiTheme="minorHAnsi" w:hAnsiTheme="minorHAnsi"/>
        </w:rPr>
        <w:t>.</w:t>
      </w:r>
    </w:p>
    <w:p w14:paraId="3393E74C" w14:textId="12C02A42" w:rsidR="00BF2BD1" w:rsidRPr="00B07D79" w:rsidRDefault="00BF2BD1" w:rsidP="00B07D79">
      <w:pPr>
        <w:spacing w:line="276" w:lineRule="auto"/>
        <w:jc w:val="both"/>
        <w:rPr>
          <w:rFonts w:asciiTheme="minorHAnsi" w:hAnsiTheme="minorHAnsi"/>
        </w:rPr>
      </w:pPr>
      <w:r w:rsidRPr="00B07D79">
        <w:rPr>
          <w:rFonts w:asciiTheme="minorHAnsi" w:hAnsiTheme="minorHAnsi"/>
        </w:rPr>
        <w:t>Syntézou H</w:t>
      </w:r>
      <w:r w:rsidRPr="00B07D79">
        <w:rPr>
          <w:rFonts w:asciiTheme="minorHAnsi" w:hAnsiTheme="minorHAnsi"/>
          <w:vertAlign w:val="subscript"/>
        </w:rPr>
        <w:t>2</w:t>
      </w:r>
      <w:r w:rsidRPr="00B07D79">
        <w:rPr>
          <w:rFonts w:asciiTheme="minorHAnsi" w:hAnsiTheme="minorHAnsi"/>
        </w:rPr>
        <w:t xml:space="preserve"> a</w:t>
      </w:r>
      <w:r w:rsidR="00CF2351" w:rsidRPr="00B07D79">
        <w:rPr>
          <w:rFonts w:asciiTheme="minorHAnsi" w:hAnsiTheme="minorHAnsi"/>
        </w:rPr>
        <w:t> </w:t>
      </w:r>
      <w:r w:rsidRPr="00B07D79">
        <w:rPr>
          <w:rFonts w:asciiTheme="minorHAnsi" w:hAnsiTheme="minorHAnsi"/>
        </w:rPr>
        <w:t>CO</w:t>
      </w:r>
      <w:r w:rsidRPr="00B07D79">
        <w:rPr>
          <w:rFonts w:asciiTheme="minorHAnsi" w:hAnsiTheme="minorHAnsi"/>
          <w:vertAlign w:val="subscript"/>
        </w:rPr>
        <w:t>2</w:t>
      </w:r>
      <w:r w:rsidRPr="00B07D79">
        <w:rPr>
          <w:rFonts w:asciiTheme="minorHAnsi" w:hAnsiTheme="minorHAnsi"/>
        </w:rPr>
        <w:t xml:space="preserve"> (metanizací) je získáván čistý metan (e-metan). Ten může být přímo využíván (tankování / vtláčení do sítě) nebo dále zpracován.</w:t>
      </w:r>
    </w:p>
    <w:p w14:paraId="4C1D151E" w14:textId="3904FB4F" w:rsidR="00BF2BD1" w:rsidRPr="00B07D79" w:rsidRDefault="00BF2BD1" w:rsidP="00B07D79">
      <w:pPr>
        <w:spacing w:line="276" w:lineRule="auto"/>
        <w:jc w:val="both"/>
        <w:rPr>
          <w:rFonts w:asciiTheme="minorHAnsi" w:hAnsiTheme="minorHAnsi"/>
        </w:rPr>
      </w:pPr>
      <w:r w:rsidRPr="00B07D79">
        <w:rPr>
          <w:rFonts w:asciiTheme="minorHAnsi" w:hAnsiTheme="minorHAnsi"/>
        </w:rPr>
        <w:t>V případě dalšího zpracování pokračuje e-metan do Fischer-Tropschova reaktoru, kde</w:t>
      </w:r>
      <w:r w:rsidR="00422864" w:rsidRPr="00B07D79">
        <w:rPr>
          <w:rFonts w:asciiTheme="minorHAnsi" w:hAnsiTheme="minorHAnsi"/>
        </w:rPr>
        <w:t> </w:t>
      </w:r>
      <w:r w:rsidRPr="00B07D79">
        <w:rPr>
          <w:rFonts w:asciiTheme="minorHAnsi" w:hAnsiTheme="minorHAnsi"/>
        </w:rPr>
        <w:t>je</w:t>
      </w:r>
      <w:r w:rsidR="00422864" w:rsidRPr="00B07D79">
        <w:rPr>
          <w:rFonts w:asciiTheme="minorHAnsi" w:hAnsiTheme="minorHAnsi"/>
        </w:rPr>
        <w:t> </w:t>
      </w:r>
      <w:r w:rsidRPr="00B07D79">
        <w:rPr>
          <w:rFonts w:asciiTheme="minorHAnsi" w:hAnsiTheme="minorHAnsi"/>
        </w:rPr>
        <w:t>z</w:t>
      </w:r>
      <w:r w:rsidR="00CF2351" w:rsidRPr="00B07D79">
        <w:rPr>
          <w:rFonts w:asciiTheme="minorHAnsi" w:hAnsiTheme="minorHAnsi"/>
        </w:rPr>
        <w:t> </w:t>
      </w:r>
      <w:r w:rsidRPr="00B07D79">
        <w:rPr>
          <w:rFonts w:asciiTheme="minorHAnsi" w:hAnsiTheme="minorHAnsi"/>
        </w:rPr>
        <w:t>něj</w:t>
      </w:r>
      <w:r w:rsidR="00422864" w:rsidRPr="00B07D79">
        <w:rPr>
          <w:rFonts w:asciiTheme="minorHAnsi" w:hAnsiTheme="minorHAnsi"/>
        </w:rPr>
        <w:t> </w:t>
      </w:r>
      <w:r w:rsidRPr="00B07D79">
        <w:rPr>
          <w:rFonts w:asciiTheme="minorHAnsi" w:hAnsiTheme="minorHAnsi"/>
        </w:rPr>
        <w:t xml:space="preserve">dále vyráběn komplikovanější uhlovodík. Podle nastavení jednotky může jít </w:t>
      </w:r>
      <w:r w:rsidR="00A32D6B" w:rsidRPr="00B07D79">
        <w:rPr>
          <w:rFonts w:asciiTheme="minorHAnsi" w:hAnsiTheme="minorHAnsi"/>
        </w:rPr>
        <w:br/>
      </w:r>
      <w:r w:rsidRPr="00B07D79">
        <w:rPr>
          <w:rFonts w:asciiTheme="minorHAnsi" w:hAnsiTheme="minorHAnsi"/>
        </w:rPr>
        <w:t>o</w:t>
      </w:r>
      <w:r w:rsidR="00A32D6B" w:rsidRPr="00B07D79">
        <w:rPr>
          <w:rFonts w:asciiTheme="minorHAnsi" w:hAnsiTheme="minorHAnsi"/>
        </w:rPr>
        <w:t> </w:t>
      </w:r>
      <w:r w:rsidRPr="00B07D79">
        <w:rPr>
          <w:rFonts w:asciiTheme="minorHAnsi" w:hAnsiTheme="minorHAnsi"/>
        </w:rPr>
        <w:t>e-LPG, e-diesel, e-benzín.</w:t>
      </w:r>
    </w:p>
    <w:p w14:paraId="12BFF6D1" w14:textId="0EF412EE" w:rsidR="00BF2BD1" w:rsidRPr="00B07D79" w:rsidRDefault="00BF2BD1" w:rsidP="00B07D79">
      <w:pPr>
        <w:spacing w:line="276" w:lineRule="auto"/>
        <w:jc w:val="both"/>
        <w:rPr>
          <w:rFonts w:asciiTheme="minorHAnsi" w:hAnsiTheme="minorHAnsi"/>
        </w:rPr>
      </w:pPr>
      <w:r w:rsidRPr="00B07D79">
        <w:rPr>
          <w:rFonts w:asciiTheme="minorHAnsi" w:hAnsiTheme="minorHAnsi"/>
        </w:rPr>
        <w:t>Koncept e-paliv je primárně založen na „čistých“ vstupech, tedy na produkci elektřiny z</w:t>
      </w:r>
      <w:r w:rsidR="00CF2351" w:rsidRPr="00B07D79">
        <w:rPr>
          <w:rFonts w:asciiTheme="minorHAnsi" w:hAnsiTheme="minorHAnsi"/>
        </w:rPr>
        <w:t> </w:t>
      </w:r>
      <w:r w:rsidRPr="00B07D79">
        <w:rPr>
          <w:rFonts w:asciiTheme="minorHAnsi" w:hAnsiTheme="minorHAnsi"/>
        </w:rPr>
        <w:t>obnovitelného zdroje. V</w:t>
      </w:r>
      <w:r w:rsidR="00CF2351" w:rsidRPr="00B07D79">
        <w:rPr>
          <w:rFonts w:asciiTheme="minorHAnsi" w:hAnsiTheme="minorHAnsi"/>
        </w:rPr>
        <w:t> </w:t>
      </w:r>
      <w:r w:rsidRPr="00B07D79">
        <w:rPr>
          <w:rFonts w:asciiTheme="minorHAnsi" w:hAnsiTheme="minorHAnsi"/>
        </w:rPr>
        <w:t>případě vhodného umístění jednotky může jít i</w:t>
      </w:r>
      <w:r w:rsidR="00CF2351" w:rsidRPr="00B07D79">
        <w:rPr>
          <w:rFonts w:asciiTheme="minorHAnsi" w:hAnsiTheme="minorHAnsi"/>
        </w:rPr>
        <w:t> </w:t>
      </w:r>
      <w:r w:rsidRPr="00B07D79">
        <w:rPr>
          <w:rFonts w:asciiTheme="minorHAnsi" w:hAnsiTheme="minorHAnsi"/>
        </w:rPr>
        <w:t>o vlastní čistý zdroj (větrná energie, solární zdroj apod.). Zajímavou alternativou je ale také využívání přebytků v</w:t>
      </w:r>
      <w:r w:rsidR="00CF2351" w:rsidRPr="00B07D79">
        <w:rPr>
          <w:rFonts w:asciiTheme="minorHAnsi" w:hAnsiTheme="minorHAnsi"/>
        </w:rPr>
        <w:t> </w:t>
      </w:r>
      <w:r w:rsidRPr="00B07D79">
        <w:rPr>
          <w:rFonts w:asciiTheme="minorHAnsi" w:hAnsiTheme="minorHAnsi"/>
        </w:rPr>
        <w:t>síti – v</w:t>
      </w:r>
      <w:r w:rsidR="00CF2351" w:rsidRPr="00B07D79">
        <w:rPr>
          <w:rFonts w:asciiTheme="minorHAnsi" w:hAnsiTheme="minorHAnsi"/>
        </w:rPr>
        <w:t> </w:t>
      </w:r>
      <w:r w:rsidRPr="00B07D79">
        <w:rPr>
          <w:rFonts w:asciiTheme="minorHAnsi" w:hAnsiTheme="minorHAnsi"/>
        </w:rPr>
        <w:t>energetickém systému založeném na obnovitelných zdrojích dochází ke ztrátě až</w:t>
      </w:r>
      <w:r w:rsidR="00A32D6B" w:rsidRPr="00B07D79">
        <w:rPr>
          <w:rFonts w:asciiTheme="minorHAnsi" w:hAnsiTheme="minorHAnsi"/>
        </w:rPr>
        <w:t> </w:t>
      </w:r>
      <w:r w:rsidRPr="00B07D79">
        <w:rPr>
          <w:rFonts w:asciiTheme="minorHAnsi" w:hAnsiTheme="minorHAnsi"/>
        </w:rPr>
        <w:t>30% vyrobené energie. Pouhé využívání přebytků v</w:t>
      </w:r>
      <w:r w:rsidR="00CF2351" w:rsidRPr="00B07D79">
        <w:rPr>
          <w:rFonts w:asciiTheme="minorHAnsi" w:hAnsiTheme="minorHAnsi"/>
        </w:rPr>
        <w:t> </w:t>
      </w:r>
      <w:r w:rsidRPr="00B07D79">
        <w:rPr>
          <w:rFonts w:asciiTheme="minorHAnsi" w:hAnsiTheme="minorHAnsi"/>
        </w:rPr>
        <w:t>síti má sice dopad na kapacitu a</w:t>
      </w:r>
      <w:r w:rsidR="00CF2351" w:rsidRPr="00B07D79">
        <w:rPr>
          <w:rFonts w:asciiTheme="minorHAnsi" w:hAnsiTheme="minorHAnsi"/>
        </w:rPr>
        <w:t> </w:t>
      </w:r>
      <w:r w:rsidRPr="00B07D79">
        <w:rPr>
          <w:rFonts w:asciiTheme="minorHAnsi" w:hAnsiTheme="minorHAnsi"/>
        </w:rPr>
        <w:t>ekonomiku výroby, ale výrobní jednotku lze nastavit libovolně, a</w:t>
      </w:r>
      <w:r w:rsidR="00CF2351" w:rsidRPr="00B07D79">
        <w:rPr>
          <w:rFonts w:asciiTheme="minorHAnsi" w:hAnsiTheme="minorHAnsi"/>
        </w:rPr>
        <w:t> </w:t>
      </w:r>
      <w:r w:rsidRPr="00B07D79">
        <w:rPr>
          <w:rFonts w:asciiTheme="minorHAnsi" w:hAnsiTheme="minorHAnsi"/>
        </w:rPr>
        <w:t>tak upřednostnit vstupní náklady nebo výrobní kapacitu podle aktuálních možností a</w:t>
      </w:r>
      <w:r w:rsidR="00CF2351" w:rsidRPr="00B07D79">
        <w:rPr>
          <w:rFonts w:asciiTheme="minorHAnsi" w:hAnsiTheme="minorHAnsi"/>
        </w:rPr>
        <w:t> </w:t>
      </w:r>
      <w:r w:rsidRPr="00B07D79">
        <w:rPr>
          <w:rFonts w:asciiTheme="minorHAnsi" w:hAnsiTheme="minorHAnsi"/>
        </w:rPr>
        <w:t>potřeby.</w:t>
      </w:r>
    </w:p>
    <w:p w14:paraId="696C7E60" w14:textId="6A49D1E2"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Výhody a</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nevýhody výrobní technologie a</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využívání syntetických paliv</w:t>
      </w:r>
    </w:p>
    <w:p w14:paraId="02390989" w14:textId="1EFCE68F" w:rsidR="00BF2BD1" w:rsidRPr="00B07D79" w:rsidRDefault="00BF2BD1" w:rsidP="00B07D79">
      <w:pPr>
        <w:spacing w:line="276" w:lineRule="auto"/>
        <w:jc w:val="both"/>
        <w:rPr>
          <w:rFonts w:asciiTheme="minorHAnsi" w:hAnsiTheme="minorHAnsi"/>
        </w:rPr>
      </w:pPr>
      <w:r w:rsidRPr="00B07D79">
        <w:rPr>
          <w:rFonts w:asciiTheme="minorHAnsi" w:hAnsiTheme="minorHAnsi"/>
        </w:rPr>
        <w:t>Popsaná technologie má řadu výhod a</w:t>
      </w:r>
      <w:r w:rsidR="00CF2351" w:rsidRPr="00B07D79">
        <w:rPr>
          <w:rFonts w:asciiTheme="minorHAnsi" w:hAnsiTheme="minorHAnsi"/>
        </w:rPr>
        <w:t> </w:t>
      </w:r>
      <w:r w:rsidRPr="00B07D79">
        <w:rPr>
          <w:rFonts w:asciiTheme="minorHAnsi" w:hAnsiTheme="minorHAnsi"/>
        </w:rPr>
        <w:t>samozřejmě i</w:t>
      </w:r>
      <w:r w:rsidR="00CF2351" w:rsidRPr="00B07D79">
        <w:rPr>
          <w:rFonts w:asciiTheme="minorHAnsi" w:hAnsiTheme="minorHAnsi"/>
        </w:rPr>
        <w:t> </w:t>
      </w:r>
      <w:r w:rsidRPr="00B07D79">
        <w:rPr>
          <w:rFonts w:asciiTheme="minorHAnsi" w:hAnsiTheme="minorHAnsi"/>
        </w:rPr>
        <w:t>nevýhody.</w:t>
      </w:r>
    </w:p>
    <w:p w14:paraId="612F8C62" w14:textId="5DD07F8A" w:rsidR="00BF2BD1" w:rsidRPr="00B07D79" w:rsidRDefault="00BF2BD1" w:rsidP="00B07D79">
      <w:pPr>
        <w:spacing w:line="276" w:lineRule="auto"/>
        <w:jc w:val="both"/>
        <w:rPr>
          <w:rFonts w:asciiTheme="minorHAnsi" w:hAnsiTheme="minorHAnsi"/>
        </w:rPr>
      </w:pPr>
      <w:r w:rsidRPr="00B07D79">
        <w:rPr>
          <w:rFonts w:asciiTheme="minorHAnsi" w:hAnsiTheme="minorHAnsi"/>
        </w:rPr>
        <w:t>Mezi jednoznačné výhody patří již zmíněná možnost decentralizované výroby, tedy instalace jednotky v</w:t>
      </w:r>
      <w:r w:rsidR="00CF2351" w:rsidRPr="00B07D79">
        <w:rPr>
          <w:rFonts w:asciiTheme="minorHAnsi" w:hAnsiTheme="minorHAnsi"/>
        </w:rPr>
        <w:t> </w:t>
      </w:r>
      <w:r w:rsidRPr="00B07D79">
        <w:rPr>
          <w:rFonts w:asciiTheme="minorHAnsi" w:hAnsiTheme="minorHAnsi"/>
        </w:rPr>
        <w:t>místě, kde je k</w:t>
      </w:r>
      <w:r w:rsidR="00CF2351" w:rsidRPr="00B07D79">
        <w:rPr>
          <w:rFonts w:asciiTheme="minorHAnsi" w:hAnsiTheme="minorHAnsi"/>
        </w:rPr>
        <w:t> </w:t>
      </w:r>
      <w:r w:rsidRPr="00B07D79">
        <w:rPr>
          <w:rFonts w:asciiTheme="minorHAnsi" w:hAnsiTheme="minorHAnsi"/>
        </w:rPr>
        <w:t>dispozici odpadní CO</w:t>
      </w:r>
      <w:r w:rsidRPr="00B07D79">
        <w:rPr>
          <w:rFonts w:asciiTheme="minorHAnsi" w:hAnsiTheme="minorHAnsi"/>
          <w:vertAlign w:val="subscript"/>
        </w:rPr>
        <w:t>2</w:t>
      </w:r>
      <w:r w:rsidRPr="00B07D79">
        <w:rPr>
          <w:rFonts w:asciiTheme="minorHAnsi" w:hAnsiTheme="minorHAnsi"/>
        </w:rPr>
        <w:t>. Další výhodou je možnost využívání přebytků elektrické energie v</w:t>
      </w:r>
      <w:r w:rsidR="00CF2351" w:rsidRPr="00B07D79">
        <w:rPr>
          <w:rFonts w:asciiTheme="minorHAnsi" w:hAnsiTheme="minorHAnsi"/>
        </w:rPr>
        <w:t> </w:t>
      </w:r>
      <w:r w:rsidRPr="00B07D79">
        <w:rPr>
          <w:rFonts w:asciiTheme="minorHAnsi" w:hAnsiTheme="minorHAnsi"/>
        </w:rPr>
        <w:t>síti.</w:t>
      </w:r>
    </w:p>
    <w:p w14:paraId="78296D9B" w14:textId="6C46CD94" w:rsidR="00BF2BD1" w:rsidRPr="00B07D79" w:rsidRDefault="00BF2BD1" w:rsidP="00B07D79">
      <w:pPr>
        <w:spacing w:line="276" w:lineRule="auto"/>
        <w:jc w:val="both"/>
        <w:rPr>
          <w:rFonts w:asciiTheme="minorHAnsi" w:hAnsiTheme="minorHAnsi"/>
        </w:rPr>
      </w:pPr>
      <w:r w:rsidRPr="00B07D79">
        <w:rPr>
          <w:rFonts w:asciiTheme="minorHAnsi" w:hAnsiTheme="minorHAnsi"/>
        </w:rPr>
        <w:t>Obrovskou výhodou jsou nulové náklady na budování nové distribuční sítě a</w:t>
      </w:r>
      <w:r w:rsidR="00CF2351" w:rsidRPr="00B07D79">
        <w:rPr>
          <w:rFonts w:asciiTheme="minorHAnsi" w:hAnsiTheme="minorHAnsi"/>
        </w:rPr>
        <w:t> </w:t>
      </w:r>
      <w:r w:rsidRPr="00B07D79">
        <w:rPr>
          <w:rFonts w:asciiTheme="minorHAnsi" w:hAnsiTheme="minorHAnsi"/>
        </w:rPr>
        <w:t>okamžitá možnost využití paliva ve vozech, které jsou aktuálně v</w:t>
      </w:r>
      <w:r w:rsidR="00CF2351" w:rsidRPr="00B07D79">
        <w:rPr>
          <w:rFonts w:asciiTheme="minorHAnsi" w:hAnsiTheme="minorHAnsi"/>
        </w:rPr>
        <w:t> </w:t>
      </w:r>
      <w:r w:rsidRPr="00B07D79">
        <w:rPr>
          <w:rFonts w:asciiTheme="minorHAnsi" w:hAnsiTheme="minorHAnsi"/>
        </w:rPr>
        <w:t>provozu.</w:t>
      </w:r>
    </w:p>
    <w:p w14:paraId="685EDAA1" w14:textId="197E1B93" w:rsidR="00BF2BD1" w:rsidRPr="00B07D79" w:rsidRDefault="00BF2BD1" w:rsidP="00B07D79">
      <w:pPr>
        <w:spacing w:line="276" w:lineRule="auto"/>
        <w:jc w:val="both"/>
        <w:rPr>
          <w:rFonts w:asciiTheme="minorHAnsi" w:hAnsiTheme="minorHAnsi"/>
        </w:rPr>
      </w:pPr>
      <w:r w:rsidRPr="00B07D79">
        <w:rPr>
          <w:rFonts w:asciiTheme="minorHAnsi" w:hAnsiTheme="minorHAnsi"/>
        </w:rPr>
        <w:t>Nevýhodou je v</w:t>
      </w:r>
      <w:r w:rsidR="00CF2351" w:rsidRPr="00B07D79">
        <w:rPr>
          <w:rFonts w:asciiTheme="minorHAnsi" w:hAnsiTheme="minorHAnsi"/>
        </w:rPr>
        <w:t> </w:t>
      </w:r>
      <w:r w:rsidRPr="00B07D79">
        <w:rPr>
          <w:rFonts w:asciiTheme="minorHAnsi" w:hAnsiTheme="minorHAnsi"/>
        </w:rPr>
        <w:t>tuto chvíli poměrně nákladná technologie, tak tomu ale je v</w:t>
      </w:r>
      <w:r w:rsidR="00CF2351" w:rsidRPr="00B07D79">
        <w:rPr>
          <w:rFonts w:asciiTheme="minorHAnsi" w:hAnsiTheme="minorHAnsi"/>
        </w:rPr>
        <w:t> </w:t>
      </w:r>
      <w:r w:rsidRPr="00B07D79">
        <w:rPr>
          <w:rFonts w:asciiTheme="minorHAnsi" w:hAnsiTheme="minorHAnsi"/>
        </w:rPr>
        <w:t>podstatě u</w:t>
      </w:r>
      <w:r w:rsidR="00CF2351" w:rsidRPr="00B07D79">
        <w:rPr>
          <w:rFonts w:asciiTheme="minorHAnsi" w:hAnsiTheme="minorHAnsi"/>
        </w:rPr>
        <w:t> </w:t>
      </w:r>
      <w:r w:rsidRPr="00B07D79">
        <w:rPr>
          <w:rFonts w:asciiTheme="minorHAnsi" w:hAnsiTheme="minorHAnsi"/>
        </w:rPr>
        <w:t>všech známých alternativních technologií, majících ambice nahradit fosilní paliva v</w:t>
      </w:r>
      <w:r w:rsidR="00CF2351" w:rsidRPr="00B07D79">
        <w:rPr>
          <w:rFonts w:asciiTheme="minorHAnsi" w:hAnsiTheme="minorHAnsi"/>
        </w:rPr>
        <w:t> </w:t>
      </w:r>
      <w:r w:rsidRPr="00B07D79">
        <w:rPr>
          <w:rFonts w:asciiTheme="minorHAnsi" w:hAnsiTheme="minorHAnsi"/>
        </w:rPr>
        <w:t>dopravě.</w:t>
      </w:r>
    </w:p>
    <w:p w14:paraId="19F62E21" w14:textId="6525165D" w:rsidR="00BF2BD1" w:rsidRPr="00B07D79" w:rsidRDefault="00BF2BD1" w:rsidP="00B07D79">
      <w:pPr>
        <w:spacing w:line="276" w:lineRule="auto"/>
        <w:jc w:val="both"/>
        <w:rPr>
          <w:rFonts w:asciiTheme="minorHAnsi" w:hAnsiTheme="minorHAnsi"/>
        </w:rPr>
      </w:pPr>
      <w:r w:rsidRPr="00B07D79">
        <w:rPr>
          <w:rFonts w:asciiTheme="minorHAnsi" w:hAnsiTheme="minorHAnsi"/>
        </w:rPr>
        <w:t>Z výrobního schématu je také patrné, že ve srovnání s</w:t>
      </w:r>
      <w:r w:rsidR="00CF2351" w:rsidRPr="00B07D79">
        <w:rPr>
          <w:rFonts w:asciiTheme="minorHAnsi" w:hAnsiTheme="minorHAnsi"/>
        </w:rPr>
        <w:t> </w:t>
      </w:r>
      <w:r w:rsidRPr="00B07D79">
        <w:rPr>
          <w:rFonts w:asciiTheme="minorHAnsi" w:hAnsiTheme="minorHAnsi"/>
        </w:rPr>
        <w:t>vodíkem jako přenašečem energie má syntetické palivo nižší přímou účinnost. Tato nevýhoda je vyvažována neexistujícími náklady na rozvoj distribuční infrastruktury, menšími bezpečnostními riziky při přepravě finálních produktů a</w:t>
      </w:r>
      <w:r w:rsidR="00CF2351" w:rsidRPr="00B07D79">
        <w:rPr>
          <w:rFonts w:asciiTheme="minorHAnsi" w:hAnsiTheme="minorHAnsi"/>
        </w:rPr>
        <w:t> </w:t>
      </w:r>
      <w:r w:rsidRPr="00B07D79">
        <w:rPr>
          <w:rFonts w:asciiTheme="minorHAnsi" w:hAnsiTheme="minorHAnsi"/>
        </w:rPr>
        <w:t>snadnou, levnou a</w:t>
      </w:r>
      <w:r w:rsidR="00CF2351" w:rsidRPr="00B07D79">
        <w:rPr>
          <w:rFonts w:asciiTheme="minorHAnsi" w:hAnsiTheme="minorHAnsi"/>
        </w:rPr>
        <w:t> </w:t>
      </w:r>
      <w:r w:rsidRPr="00B07D79">
        <w:rPr>
          <w:rFonts w:asciiTheme="minorHAnsi" w:hAnsiTheme="minorHAnsi"/>
        </w:rPr>
        <w:t>dlouhodobou skladovatelností vyráběného produktu.</w:t>
      </w:r>
    </w:p>
    <w:p w14:paraId="14546116" w14:textId="77777777"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Úspory emisí</w:t>
      </w:r>
    </w:p>
    <w:p w14:paraId="041D4C35" w14:textId="23B30F8F" w:rsidR="00BF2BD1" w:rsidRPr="00B07D79" w:rsidRDefault="00BF2BD1" w:rsidP="00B07D79">
      <w:pPr>
        <w:spacing w:line="276" w:lineRule="auto"/>
        <w:jc w:val="both"/>
        <w:rPr>
          <w:rFonts w:asciiTheme="minorHAnsi" w:hAnsiTheme="minorHAnsi"/>
        </w:rPr>
      </w:pPr>
      <w:r w:rsidRPr="00B07D79">
        <w:rPr>
          <w:rFonts w:asciiTheme="minorHAnsi" w:hAnsiTheme="minorHAnsi"/>
        </w:rPr>
        <w:t>V ideálním případě jsou syntetická paliva emisně neutrálním produktem (CO</w:t>
      </w:r>
      <w:r w:rsidRPr="00B07D79">
        <w:rPr>
          <w:rFonts w:asciiTheme="minorHAnsi" w:hAnsiTheme="minorHAnsi"/>
          <w:vertAlign w:val="subscript"/>
        </w:rPr>
        <w:t>2</w:t>
      </w:r>
      <w:r w:rsidRPr="00B07D79">
        <w:rPr>
          <w:rFonts w:asciiTheme="minorHAnsi" w:hAnsiTheme="minorHAnsi"/>
        </w:rPr>
        <w:t xml:space="preserve"> emitované při</w:t>
      </w:r>
      <w:r w:rsidR="00A32D6B" w:rsidRPr="00B07D79">
        <w:rPr>
          <w:rFonts w:asciiTheme="minorHAnsi" w:hAnsiTheme="minorHAnsi"/>
        </w:rPr>
        <w:t> </w:t>
      </w:r>
      <w:r w:rsidRPr="00B07D79">
        <w:rPr>
          <w:rFonts w:asciiTheme="minorHAnsi" w:hAnsiTheme="minorHAnsi"/>
        </w:rPr>
        <w:t>spalování motorem vozidla) odpovídá množství, které bylo ve výrobním procesu odčerpáno z</w:t>
      </w:r>
      <w:r w:rsidR="00CF2351" w:rsidRPr="00B07D79">
        <w:rPr>
          <w:rFonts w:asciiTheme="minorHAnsi" w:hAnsiTheme="minorHAnsi"/>
        </w:rPr>
        <w:t> </w:t>
      </w:r>
      <w:r w:rsidRPr="00B07D79">
        <w:rPr>
          <w:rFonts w:asciiTheme="minorHAnsi" w:hAnsiTheme="minorHAnsi"/>
        </w:rPr>
        <w:t>ovzduší.</w:t>
      </w:r>
    </w:p>
    <w:p w14:paraId="73013E1B" w14:textId="74E06F04" w:rsidR="00BF2BD1" w:rsidRPr="00B07D79" w:rsidRDefault="00BF2BD1" w:rsidP="00B07D79">
      <w:pPr>
        <w:spacing w:line="276" w:lineRule="auto"/>
        <w:jc w:val="both"/>
        <w:rPr>
          <w:rFonts w:asciiTheme="minorHAnsi" w:hAnsiTheme="minorHAnsi"/>
        </w:rPr>
      </w:pPr>
      <w:r w:rsidRPr="00B07D79">
        <w:rPr>
          <w:rFonts w:asciiTheme="minorHAnsi" w:hAnsiTheme="minorHAnsi"/>
        </w:rPr>
        <w:t>Při zahrnutí emisních nákladů výroby dochází zhruba k</w:t>
      </w:r>
      <w:r w:rsidR="004A18F5">
        <w:rPr>
          <w:rFonts w:asciiTheme="minorHAnsi" w:hAnsiTheme="minorHAnsi"/>
        </w:rPr>
        <w:t> </w:t>
      </w:r>
      <w:r w:rsidRPr="00B07D79">
        <w:rPr>
          <w:rFonts w:asciiTheme="minorHAnsi" w:hAnsiTheme="minorHAnsi"/>
        </w:rPr>
        <w:t>80</w:t>
      </w:r>
      <w:r w:rsidR="004A18F5">
        <w:rPr>
          <w:rFonts w:asciiTheme="minorHAnsi" w:hAnsiTheme="minorHAnsi"/>
        </w:rPr>
        <w:t xml:space="preserve"> </w:t>
      </w:r>
      <w:r w:rsidRPr="00B07D79">
        <w:rPr>
          <w:rFonts w:asciiTheme="minorHAnsi" w:hAnsiTheme="minorHAnsi"/>
        </w:rPr>
        <w:t>% úspoře proti klasickým fosilním palivům.</w:t>
      </w:r>
    </w:p>
    <w:p w14:paraId="11B87C23" w14:textId="77777777"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Energetická efektivita výrobního cyklu</w:t>
      </w:r>
    </w:p>
    <w:p w14:paraId="088E5C7F" w14:textId="12D7E6F8" w:rsidR="00BF2BD1" w:rsidRPr="00B07D79" w:rsidRDefault="00BF2BD1" w:rsidP="00B07D79">
      <w:pPr>
        <w:spacing w:line="276" w:lineRule="auto"/>
        <w:jc w:val="both"/>
        <w:rPr>
          <w:rFonts w:asciiTheme="minorHAnsi" w:hAnsiTheme="minorHAnsi"/>
          <w:u w:val="single"/>
        </w:rPr>
      </w:pPr>
      <w:r w:rsidRPr="00B07D79">
        <w:rPr>
          <w:rFonts w:asciiTheme="minorHAnsi" w:hAnsiTheme="minorHAnsi"/>
        </w:rPr>
        <w:t>Ačkoli sám palivový cyklus je ve srovnání s</w:t>
      </w:r>
      <w:r w:rsidR="00CF2351" w:rsidRPr="00B07D79">
        <w:rPr>
          <w:rFonts w:asciiTheme="minorHAnsi" w:hAnsiTheme="minorHAnsi"/>
        </w:rPr>
        <w:t> </w:t>
      </w:r>
      <w:r w:rsidRPr="00B07D79">
        <w:rPr>
          <w:rFonts w:asciiTheme="minorHAnsi" w:hAnsiTheme="minorHAnsi"/>
        </w:rPr>
        <w:t>přímým využitím vodíku méně efektivní, vznikají při výrobě dále využitelné vedlejší produkty (odpadní teplo, parafíny apod.), při započtení jejich využití se tak výrobní efektivita dostává nad 90</w:t>
      </w:r>
      <w:r w:rsidR="004D3E9F" w:rsidRPr="00B07D79">
        <w:rPr>
          <w:rFonts w:asciiTheme="minorHAnsi" w:hAnsiTheme="minorHAnsi"/>
        </w:rPr>
        <w:t xml:space="preserve"> </w:t>
      </w:r>
      <w:r w:rsidRPr="00B07D79">
        <w:rPr>
          <w:rFonts w:asciiTheme="minorHAnsi" w:hAnsiTheme="minorHAnsi"/>
        </w:rPr>
        <w:t>%.</w:t>
      </w:r>
      <w:r w:rsidR="006C4087" w:rsidRPr="00B07D79">
        <w:rPr>
          <w:rFonts w:asciiTheme="minorHAnsi" w:hAnsiTheme="minorHAnsi"/>
        </w:rPr>
        <w:t xml:space="preserve"> </w:t>
      </w:r>
      <w:r w:rsidRPr="00B07D79">
        <w:rPr>
          <w:rFonts w:asciiTheme="minorHAnsi" w:hAnsiTheme="minorHAnsi"/>
          <w:u w:val="single"/>
        </w:rPr>
        <w:br w:type="page"/>
      </w:r>
    </w:p>
    <w:p w14:paraId="587F2058" w14:textId="77777777"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lastRenderedPageBreak/>
        <w:t>Energetická efektivita výroby motorového paliva</w:t>
      </w:r>
    </w:p>
    <w:p w14:paraId="2008B041" w14:textId="480B2E42" w:rsidR="00BF2BD1" w:rsidRPr="00B07D79" w:rsidRDefault="00BF2BD1" w:rsidP="00B07D79">
      <w:pPr>
        <w:spacing w:line="276" w:lineRule="auto"/>
        <w:jc w:val="both"/>
        <w:rPr>
          <w:rFonts w:asciiTheme="minorHAnsi" w:hAnsiTheme="minorHAnsi"/>
        </w:rPr>
      </w:pPr>
      <w:r w:rsidRPr="00B07D79">
        <w:rPr>
          <w:rFonts w:asciiTheme="minorHAnsi" w:hAnsiTheme="minorHAnsi"/>
        </w:rPr>
        <w:t>Pokud bychom syntetické palivo vyráběli v</w:t>
      </w:r>
      <w:r w:rsidR="00CF2351" w:rsidRPr="00B07D79">
        <w:rPr>
          <w:rFonts w:asciiTheme="minorHAnsi" w:hAnsiTheme="minorHAnsi"/>
        </w:rPr>
        <w:t> </w:t>
      </w:r>
      <w:r w:rsidRPr="00B07D79">
        <w:rPr>
          <w:rFonts w:asciiTheme="minorHAnsi" w:hAnsiTheme="minorHAnsi"/>
        </w:rPr>
        <w:t>Evropě ze stejného solárního panelu nebo větrníku, který by zásoboval čistou elektrickou energií zásuvky pro dobíjení elektromobilů, dokázali bychom na dopředný pohyb vozu převést asi čtvrtinu energie. Ostatní by byly ztráty. Velmi zjednodušeně lze situaci popsat takto: Elektromobil přemění na dopředný pohyb 80</w:t>
      </w:r>
      <w:r w:rsidR="004D3E9F" w:rsidRPr="00B07D79">
        <w:rPr>
          <w:rFonts w:asciiTheme="minorHAnsi" w:hAnsiTheme="minorHAnsi"/>
        </w:rPr>
        <w:t xml:space="preserve"> </w:t>
      </w:r>
      <w:r w:rsidRPr="00B07D79">
        <w:rPr>
          <w:rFonts w:asciiTheme="minorHAnsi" w:hAnsiTheme="minorHAnsi"/>
        </w:rPr>
        <w:t>% vyrobené elektrické energie, vodíkový polovinu, tedy 40</w:t>
      </w:r>
      <w:r w:rsidR="004D3E9F" w:rsidRPr="00B07D79">
        <w:rPr>
          <w:rFonts w:asciiTheme="minorHAnsi" w:hAnsiTheme="minorHAnsi"/>
        </w:rPr>
        <w:t xml:space="preserve"> </w:t>
      </w:r>
      <w:r w:rsidRPr="00B07D79">
        <w:rPr>
          <w:rFonts w:asciiTheme="minorHAnsi" w:hAnsiTheme="minorHAnsi"/>
        </w:rPr>
        <w:t>%. A</w:t>
      </w:r>
      <w:r w:rsidR="00CF2351" w:rsidRPr="00B07D79">
        <w:rPr>
          <w:rFonts w:asciiTheme="minorHAnsi" w:hAnsiTheme="minorHAnsi"/>
        </w:rPr>
        <w:t> </w:t>
      </w:r>
      <w:r w:rsidRPr="00B07D79">
        <w:rPr>
          <w:rFonts w:asciiTheme="minorHAnsi" w:hAnsiTheme="minorHAnsi"/>
        </w:rPr>
        <w:t>vůz poháněny syntetickým palivem pouze polovinu vodíku, tedy 20</w:t>
      </w:r>
      <w:r w:rsidR="004D3E9F" w:rsidRPr="00B07D79">
        <w:rPr>
          <w:rFonts w:asciiTheme="minorHAnsi" w:hAnsiTheme="minorHAnsi"/>
        </w:rPr>
        <w:t xml:space="preserve"> </w:t>
      </w:r>
      <w:r w:rsidRPr="00B07D79">
        <w:rPr>
          <w:rFonts w:asciiTheme="minorHAnsi" w:hAnsiTheme="minorHAnsi"/>
        </w:rPr>
        <w:t>%. Takový model dává opravdu smysl pouze v</w:t>
      </w:r>
      <w:r w:rsidR="00CF2351" w:rsidRPr="00B07D79">
        <w:rPr>
          <w:rFonts w:asciiTheme="minorHAnsi" w:hAnsiTheme="minorHAnsi"/>
        </w:rPr>
        <w:t> </w:t>
      </w:r>
      <w:r w:rsidRPr="00B07D79">
        <w:rPr>
          <w:rFonts w:asciiTheme="minorHAnsi" w:hAnsiTheme="minorHAnsi"/>
        </w:rPr>
        <w:t>situaci, kdy budeme syntetické palivo vyrábět z</w:t>
      </w:r>
      <w:r w:rsidR="00CF2351" w:rsidRPr="00B07D79">
        <w:rPr>
          <w:rFonts w:asciiTheme="minorHAnsi" w:hAnsiTheme="minorHAnsi"/>
        </w:rPr>
        <w:t> </w:t>
      </w:r>
      <w:r w:rsidRPr="00B07D79">
        <w:rPr>
          <w:rFonts w:asciiTheme="minorHAnsi" w:hAnsiTheme="minorHAnsi"/>
        </w:rPr>
        <w:t>přebytků elektřiny, které bychom jinak mařili.</w:t>
      </w:r>
    </w:p>
    <w:p w14:paraId="085E70C1" w14:textId="5596A718" w:rsidR="00BF2BD1" w:rsidRPr="00B07D79" w:rsidRDefault="00BF2BD1" w:rsidP="00B07D79">
      <w:pPr>
        <w:spacing w:line="276" w:lineRule="auto"/>
        <w:jc w:val="both"/>
        <w:rPr>
          <w:rFonts w:asciiTheme="minorHAnsi" w:hAnsiTheme="minorHAnsi"/>
        </w:rPr>
      </w:pPr>
      <w:r w:rsidRPr="00B07D79">
        <w:rPr>
          <w:rFonts w:asciiTheme="minorHAnsi" w:hAnsiTheme="minorHAnsi"/>
        </w:rPr>
        <w:t>Pokud ovšem budeme vyrábět elektřinu z</w:t>
      </w:r>
      <w:r w:rsidR="00CF2351" w:rsidRPr="00B07D79">
        <w:rPr>
          <w:rFonts w:asciiTheme="minorHAnsi" w:hAnsiTheme="minorHAnsi"/>
        </w:rPr>
        <w:t> </w:t>
      </w:r>
      <w:r w:rsidRPr="00B07D79">
        <w:rPr>
          <w:rFonts w:asciiTheme="minorHAnsi" w:hAnsiTheme="minorHAnsi"/>
        </w:rPr>
        <w:t>větrníků v</w:t>
      </w:r>
      <w:r w:rsidR="00CF2351" w:rsidRPr="00B07D79">
        <w:rPr>
          <w:rFonts w:asciiTheme="minorHAnsi" w:hAnsiTheme="minorHAnsi"/>
        </w:rPr>
        <w:t> </w:t>
      </w:r>
      <w:r w:rsidRPr="00B07D79">
        <w:rPr>
          <w:rFonts w:asciiTheme="minorHAnsi" w:hAnsiTheme="minorHAnsi"/>
        </w:rPr>
        <w:t>Chile nebo ze solárů na severu Afriky, situace se rapidně změní. Produkce elektřiny je totiž v</w:t>
      </w:r>
      <w:r w:rsidR="00CF2351" w:rsidRPr="00B07D79">
        <w:rPr>
          <w:rFonts w:asciiTheme="minorHAnsi" w:hAnsiTheme="minorHAnsi"/>
        </w:rPr>
        <w:t> </w:t>
      </w:r>
      <w:r w:rsidRPr="00B07D79">
        <w:rPr>
          <w:rFonts w:asciiTheme="minorHAnsi" w:hAnsiTheme="minorHAnsi"/>
        </w:rPr>
        <w:t>takových místech 3x až 4x efektivnější než v</w:t>
      </w:r>
      <w:r w:rsidR="00CF2351" w:rsidRPr="00B07D79">
        <w:rPr>
          <w:rFonts w:asciiTheme="minorHAnsi" w:hAnsiTheme="minorHAnsi"/>
        </w:rPr>
        <w:t> </w:t>
      </w:r>
      <w:r w:rsidRPr="00B07D79">
        <w:rPr>
          <w:rFonts w:asciiTheme="minorHAnsi" w:hAnsiTheme="minorHAnsi"/>
        </w:rPr>
        <w:t>Evropě. Pro ilustraci, 3MW větrná turbína vyrobí za rok v</w:t>
      </w:r>
      <w:r w:rsidR="00CF2351" w:rsidRPr="00B07D79">
        <w:rPr>
          <w:rFonts w:asciiTheme="minorHAnsi" w:hAnsiTheme="minorHAnsi"/>
        </w:rPr>
        <w:t> </w:t>
      </w:r>
      <w:r w:rsidRPr="00B07D79">
        <w:rPr>
          <w:rFonts w:asciiTheme="minorHAnsi" w:hAnsiTheme="minorHAnsi"/>
        </w:rPr>
        <w:t>Německu 5,4MWh elektrické energie, v</w:t>
      </w:r>
      <w:r w:rsidR="00CF2351" w:rsidRPr="00B07D79">
        <w:rPr>
          <w:rFonts w:asciiTheme="minorHAnsi" w:hAnsiTheme="minorHAnsi"/>
        </w:rPr>
        <w:t> </w:t>
      </w:r>
      <w:r w:rsidRPr="00B07D79">
        <w:rPr>
          <w:rFonts w:asciiTheme="minorHAnsi" w:hAnsiTheme="minorHAnsi"/>
        </w:rPr>
        <w:t>Chile je to 15,6 MWh. Elektřinu ale z</w:t>
      </w:r>
      <w:r w:rsidR="00CF2351" w:rsidRPr="00B07D79">
        <w:rPr>
          <w:rFonts w:asciiTheme="minorHAnsi" w:hAnsiTheme="minorHAnsi"/>
        </w:rPr>
        <w:t> </w:t>
      </w:r>
      <w:r w:rsidRPr="00B07D79">
        <w:rPr>
          <w:rFonts w:asciiTheme="minorHAnsi" w:hAnsiTheme="minorHAnsi"/>
        </w:rPr>
        <w:t>Chile do Evropy kabelem efektivně nedostaneme, kvůli komplikované logistice odpadá i</w:t>
      </w:r>
      <w:r w:rsidR="00CF2351" w:rsidRPr="00B07D79">
        <w:rPr>
          <w:rFonts w:asciiTheme="minorHAnsi" w:hAnsiTheme="minorHAnsi"/>
        </w:rPr>
        <w:t> </w:t>
      </w:r>
      <w:r w:rsidRPr="00B07D79">
        <w:rPr>
          <w:rFonts w:asciiTheme="minorHAnsi" w:hAnsiTheme="minorHAnsi"/>
        </w:rPr>
        <w:t>čistý vodík. Nejlepším způsobem, jak</w:t>
      </w:r>
      <w:r w:rsidR="00A32D6B" w:rsidRPr="00B07D79">
        <w:rPr>
          <w:rFonts w:asciiTheme="minorHAnsi" w:hAnsiTheme="minorHAnsi"/>
        </w:rPr>
        <w:t> </w:t>
      </w:r>
      <w:r w:rsidRPr="00B07D79">
        <w:rPr>
          <w:rFonts w:asciiTheme="minorHAnsi" w:hAnsiTheme="minorHAnsi"/>
        </w:rPr>
        <w:t>energii dostat do Evropy, je její přeměna na syntetické palivo nebo čpavek. Při stejném modelu výpočtu ztrát, a</w:t>
      </w:r>
      <w:r w:rsidR="00CF2351" w:rsidRPr="00B07D79">
        <w:rPr>
          <w:rFonts w:asciiTheme="minorHAnsi" w:hAnsiTheme="minorHAnsi"/>
        </w:rPr>
        <w:t> </w:t>
      </w:r>
      <w:r w:rsidRPr="00B07D79">
        <w:rPr>
          <w:rFonts w:asciiTheme="minorHAnsi" w:hAnsiTheme="minorHAnsi"/>
        </w:rPr>
        <w:t>i se započtením přepravy paliva (což ostatně není nic nového, motorová paliva aktuálně do Evropy proudí i</w:t>
      </w:r>
      <w:r w:rsidR="00CF2351" w:rsidRPr="00B07D79">
        <w:rPr>
          <w:rFonts w:asciiTheme="minorHAnsi" w:hAnsiTheme="minorHAnsi"/>
        </w:rPr>
        <w:t> </w:t>
      </w:r>
      <w:r w:rsidRPr="00B07D79">
        <w:rPr>
          <w:rFonts w:asciiTheme="minorHAnsi" w:hAnsiTheme="minorHAnsi"/>
        </w:rPr>
        <w:t>z Indie nebo Číny), se ukazuje</w:t>
      </w:r>
      <w:r w:rsidR="006F34B6" w:rsidRPr="00B07D79">
        <w:rPr>
          <w:rFonts w:asciiTheme="minorHAnsi" w:hAnsiTheme="minorHAnsi"/>
        </w:rPr>
        <w:t>,</w:t>
      </w:r>
      <w:r w:rsidRPr="00B07D79">
        <w:rPr>
          <w:rFonts w:asciiTheme="minorHAnsi" w:hAnsiTheme="minorHAnsi"/>
        </w:rPr>
        <w:t xml:space="preserve"> že ta samá turbína, jen umístěná na vhodnějším místě na zeměkouli, dokáže přesunout prostřednictvím syntetického paliva vůz na stejnou vzdálenost, jako kdyby byla umístěna v</w:t>
      </w:r>
      <w:r w:rsidR="00CF2351" w:rsidRPr="00B07D79">
        <w:rPr>
          <w:rFonts w:asciiTheme="minorHAnsi" w:hAnsiTheme="minorHAnsi"/>
        </w:rPr>
        <w:t> </w:t>
      </w:r>
      <w:r w:rsidRPr="00B07D79">
        <w:rPr>
          <w:rFonts w:asciiTheme="minorHAnsi" w:hAnsiTheme="minorHAnsi"/>
        </w:rPr>
        <w:t>Evropě a</w:t>
      </w:r>
      <w:r w:rsidR="00CF2351" w:rsidRPr="00B07D79">
        <w:rPr>
          <w:rFonts w:asciiTheme="minorHAnsi" w:hAnsiTheme="minorHAnsi"/>
        </w:rPr>
        <w:t> </w:t>
      </w:r>
      <w:r w:rsidRPr="00B07D79">
        <w:rPr>
          <w:rFonts w:asciiTheme="minorHAnsi" w:hAnsiTheme="minorHAnsi"/>
        </w:rPr>
        <w:t>poháněla bateriový elektromobil.</w:t>
      </w:r>
    </w:p>
    <w:p w14:paraId="2A184600" w14:textId="4A2B0F94" w:rsidR="00BF2BD1" w:rsidRPr="00B07D79" w:rsidRDefault="00BF2BD1" w:rsidP="00B07D79">
      <w:pPr>
        <w:spacing w:line="276" w:lineRule="auto"/>
        <w:jc w:val="both"/>
        <w:rPr>
          <w:rFonts w:asciiTheme="minorHAnsi" w:hAnsiTheme="minorHAnsi"/>
        </w:rPr>
      </w:pPr>
      <w:r w:rsidRPr="00B07D79">
        <w:rPr>
          <w:rFonts w:asciiTheme="minorHAnsi" w:hAnsiTheme="minorHAnsi"/>
        </w:rPr>
        <w:t>Nasazení syntetických paliv je tak úzkým evropským pohledem z</w:t>
      </w:r>
      <w:r w:rsidR="00CF2351" w:rsidRPr="00B07D79">
        <w:rPr>
          <w:rFonts w:asciiTheme="minorHAnsi" w:hAnsiTheme="minorHAnsi"/>
        </w:rPr>
        <w:t> </w:t>
      </w:r>
      <w:r w:rsidRPr="00B07D79">
        <w:rPr>
          <w:rFonts w:asciiTheme="minorHAnsi" w:hAnsiTheme="minorHAnsi"/>
        </w:rPr>
        <w:t>hlediska energetické efektivity možná problematické, ale z</w:t>
      </w:r>
      <w:r w:rsidR="00CF2351" w:rsidRPr="00B07D79">
        <w:rPr>
          <w:rFonts w:asciiTheme="minorHAnsi" w:hAnsiTheme="minorHAnsi"/>
        </w:rPr>
        <w:t> </w:t>
      </w:r>
      <w:r w:rsidRPr="00B07D79">
        <w:rPr>
          <w:rFonts w:asciiTheme="minorHAnsi" w:hAnsiTheme="minorHAnsi"/>
        </w:rPr>
        <w:t>globálního pohledu dává – při vědomí všech výše uvedených výhod – smysl.</w:t>
      </w:r>
    </w:p>
    <w:p w14:paraId="00423616" w14:textId="77777777"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Cena</w:t>
      </w:r>
    </w:p>
    <w:p w14:paraId="0721936E" w14:textId="53E48C65" w:rsidR="00BF2BD1" w:rsidRPr="00B07D79" w:rsidRDefault="00BF2BD1" w:rsidP="00B07D79">
      <w:pPr>
        <w:spacing w:line="276" w:lineRule="auto"/>
        <w:jc w:val="both"/>
        <w:rPr>
          <w:rFonts w:asciiTheme="minorHAnsi" w:hAnsiTheme="minorHAnsi"/>
        </w:rPr>
      </w:pPr>
      <w:r w:rsidRPr="00B07D79">
        <w:rPr>
          <w:rFonts w:asciiTheme="minorHAnsi" w:hAnsiTheme="minorHAnsi"/>
        </w:rPr>
        <w:t>Cena syntetického paliva přímo závisí na ceně čistého vodíku. Cena vodíku závisí na efektivitě jeho výroby, tedy na efektivitě získávané elektrické energie a</w:t>
      </w:r>
      <w:r w:rsidR="00CF2351" w:rsidRPr="00B07D79">
        <w:rPr>
          <w:rFonts w:asciiTheme="minorHAnsi" w:hAnsiTheme="minorHAnsi"/>
        </w:rPr>
        <w:t> </w:t>
      </w:r>
      <w:r w:rsidRPr="00B07D79">
        <w:rPr>
          <w:rFonts w:asciiTheme="minorHAnsi" w:hAnsiTheme="minorHAnsi"/>
        </w:rPr>
        <w:t>výrobního procesu. Tedy podobně, jak bylo uvedeno v</w:t>
      </w:r>
      <w:r w:rsidR="00CF2351" w:rsidRPr="00B07D79">
        <w:rPr>
          <w:rFonts w:asciiTheme="minorHAnsi" w:hAnsiTheme="minorHAnsi"/>
        </w:rPr>
        <w:t> </w:t>
      </w:r>
      <w:r w:rsidRPr="00B07D79">
        <w:rPr>
          <w:rFonts w:asciiTheme="minorHAnsi" w:hAnsiTheme="minorHAnsi"/>
        </w:rPr>
        <w:t>předchozím odstavci ohledně efektivity, platí i</w:t>
      </w:r>
      <w:r w:rsidR="00CF2351" w:rsidRPr="00B07D79">
        <w:rPr>
          <w:rFonts w:asciiTheme="minorHAnsi" w:hAnsiTheme="minorHAnsi"/>
        </w:rPr>
        <w:t> </w:t>
      </w:r>
      <w:r w:rsidRPr="00B07D79">
        <w:rPr>
          <w:rFonts w:asciiTheme="minorHAnsi" w:hAnsiTheme="minorHAnsi"/>
        </w:rPr>
        <w:t>o ceně – bude-li syntetické palivo vyráběno v</w:t>
      </w:r>
      <w:r w:rsidR="00CF2351" w:rsidRPr="00B07D79">
        <w:rPr>
          <w:rFonts w:asciiTheme="minorHAnsi" w:hAnsiTheme="minorHAnsi"/>
        </w:rPr>
        <w:t> </w:t>
      </w:r>
      <w:r w:rsidRPr="00B07D79">
        <w:rPr>
          <w:rFonts w:asciiTheme="minorHAnsi" w:hAnsiTheme="minorHAnsi"/>
        </w:rPr>
        <w:t>Evropě, bude dražší, než když ho vyrobíme a</w:t>
      </w:r>
      <w:r w:rsidR="00CF2351" w:rsidRPr="00B07D79">
        <w:rPr>
          <w:rFonts w:asciiTheme="minorHAnsi" w:hAnsiTheme="minorHAnsi"/>
        </w:rPr>
        <w:t> </w:t>
      </w:r>
      <w:r w:rsidRPr="00B07D79">
        <w:rPr>
          <w:rFonts w:asciiTheme="minorHAnsi" w:hAnsiTheme="minorHAnsi"/>
        </w:rPr>
        <w:t>dovezeme z</w:t>
      </w:r>
      <w:r w:rsidR="00CF2351" w:rsidRPr="00B07D79">
        <w:rPr>
          <w:rFonts w:asciiTheme="minorHAnsi" w:hAnsiTheme="minorHAnsi"/>
        </w:rPr>
        <w:t> </w:t>
      </w:r>
      <w:r w:rsidRPr="00B07D79">
        <w:rPr>
          <w:rFonts w:asciiTheme="minorHAnsi" w:hAnsiTheme="minorHAnsi"/>
        </w:rPr>
        <w:t>míst, která jsou k</w:t>
      </w:r>
      <w:r w:rsidR="00CF2351" w:rsidRPr="00B07D79">
        <w:rPr>
          <w:rFonts w:asciiTheme="minorHAnsi" w:hAnsiTheme="minorHAnsi"/>
        </w:rPr>
        <w:t> </w:t>
      </w:r>
      <w:r w:rsidRPr="00B07D79">
        <w:rPr>
          <w:rFonts w:asciiTheme="minorHAnsi" w:hAnsiTheme="minorHAnsi"/>
        </w:rPr>
        <w:t>výrobě vhodnější. Podle studie Frauhoferova institutu nepřekročí v</w:t>
      </w:r>
      <w:r w:rsidR="00CF2351" w:rsidRPr="00B07D79">
        <w:rPr>
          <w:rFonts w:asciiTheme="minorHAnsi" w:hAnsiTheme="minorHAnsi"/>
        </w:rPr>
        <w:t> </w:t>
      </w:r>
      <w:r w:rsidRPr="00B07D79">
        <w:rPr>
          <w:rFonts w:asciiTheme="minorHAnsi" w:hAnsiTheme="minorHAnsi"/>
        </w:rPr>
        <w:t xml:space="preserve">roce 2050 výrobní cena litru syntetického paliva 1 </w:t>
      </w:r>
      <w:r w:rsidR="008C1D04" w:rsidRPr="00B07D79">
        <w:rPr>
          <w:rFonts w:asciiTheme="minorHAnsi" w:hAnsiTheme="minorHAnsi"/>
        </w:rPr>
        <w:t>€</w:t>
      </w:r>
      <w:r w:rsidRPr="00B07D79">
        <w:rPr>
          <w:rFonts w:asciiTheme="minorHAnsi" w:hAnsiTheme="minorHAnsi"/>
        </w:rPr>
        <w:t xml:space="preserve"> (v dnešních cenách).</w:t>
      </w:r>
    </w:p>
    <w:p w14:paraId="2E21A799" w14:textId="25B5342D"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Aktuální stav a</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možnosti využití syntetických paliv v</w:t>
      </w:r>
      <w:r w:rsidR="00CF2351" w:rsidRPr="003C103E">
        <w:rPr>
          <w:rFonts w:asciiTheme="minorHAnsi" w:hAnsiTheme="minorHAnsi"/>
          <w:color w:val="385623" w:themeColor="accent6" w:themeShade="80"/>
          <w:sz w:val="24"/>
          <w:szCs w:val="28"/>
        </w:rPr>
        <w:t> </w:t>
      </w:r>
      <w:r w:rsidRPr="003C103E">
        <w:rPr>
          <w:rFonts w:asciiTheme="minorHAnsi" w:hAnsiTheme="minorHAnsi"/>
          <w:color w:val="385623" w:themeColor="accent6" w:themeShade="80"/>
          <w:sz w:val="24"/>
          <w:szCs w:val="28"/>
        </w:rPr>
        <w:t>ČR</w:t>
      </w:r>
    </w:p>
    <w:p w14:paraId="5C27691F" w14:textId="380167A8" w:rsidR="00BF2BD1" w:rsidRPr="00B07D79" w:rsidRDefault="00BF2BD1" w:rsidP="00B07D79">
      <w:pPr>
        <w:spacing w:line="276" w:lineRule="auto"/>
        <w:jc w:val="both"/>
        <w:rPr>
          <w:rFonts w:asciiTheme="minorHAnsi" w:hAnsiTheme="minorHAnsi"/>
        </w:rPr>
      </w:pPr>
      <w:r w:rsidRPr="00B07D79">
        <w:rPr>
          <w:rFonts w:asciiTheme="minorHAnsi" w:hAnsiTheme="minorHAnsi"/>
        </w:rPr>
        <w:t>Syntetickými palivy se zabývají aktuálně nejvíce v</w:t>
      </w:r>
      <w:r w:rsidR="00CF2351" w:rsidRPr="00B07D79">
        <w:rPr>
          <w:rFonts w:asciiTheme="minorHAnsi" w:hAnsiTheme="minorHAnsi"/>
        </w:rPr>
        <w:t> </w:t>
      </w:r>
      <w:r w:rsidRPr="00B07D79">
        <w:rPr>
          <w:rFonts w:asciiTheme="minorHAnsi" w:hAnsiTheme="minorHAnsi"/>
        </w:rPr>
        <w:t>Japonsku, Austrálii. Zajímavé projekty připravuje v</w:t>
      </w:r>
      <w:r w:rsidR="00CF2351" w:rsidRPr="00B07D79">
        <w:rPr>
          <w:rFonts w:asciiTheme="minorHAnsi" w:hAnsiTheme="minorHAnsi"/>
        </w:rPr>
        <w:t> </w:t>
      </w:r>
      <w:r w:rsidR="00A347AF" w:rsidRPr="00B07D79">
        <w:rPr>
          <w:rFonts w:asciiTheme="minorHAnsi" w:hAnsiTheme="minorHAnsi"/>
        </w:rPr>
        <w:t>Saúdské</w:t>
      </w:r>
      <w:r w:rsidRPr="00B07D79">
        <w:rPr>
          <w:rFonts w:asciiTheme="minorHAnsi" w:hAnsiTheme="minorHAnsi"/>
        </w:rPr>
        <w:t xml:space="preserve"> Arábii a</w:t>
      </w:r>
      <w:r w:rsidR="00CF2351" w:rsidRPr="00B07D79">
        <w:rPr>
          <w:rFonts w:asciiTheme="minorHAnsi" w:hAnsiTheme="minorHAnsi"/>
        </w:rPr>
        <w:t> </w:t>
      </w:r>
      <w:r w:rsidRPr="00B07D79">
        <w:rPr>
          <w:rFonts w:asciiTheme="minorHAnsi" w:hAnsiTheme="minorHAnsi"/>
        </w:rPr>
        <w:t>ve Španělsku Saudi Aramco. Přímo v</w:t>
      </w:r>
      <w:r w:rsidR="00CF2351" w:rsidRPr="00B07D79">
        <w:rPr>
          <w:rFonts w:asciiTheme="minorHAnsi" w:hAnsiTheme="minorHAnsi"/>
        </w:rPr>
        <w:t> </w:t>
      </w:r>
      <w:r w:rsidRPr="00B07D79">
        <w:rPr>
          <w:rFonts w:asciiTheme="minorHAnsi" w:hAnsiTheme="minorHAnsi"/>
        </w:rPr>
        <w:t>Evropě se ve vývoji syntetických paliv angažují především německé firmy. Roli lídra mezi automobilkami, které</w:t>
      </w:r>
      <w:r w:rsidR="00A32D6B" w:rsidRPr="00B07D79">
        <w:rPr>
          <w:rFonts w:asciiTheme="minorHAnsi" w:hAnsiTheme="minorHAnsi"/>
        </w:rPr>
        <w:t> </w:t>
      </w:r>
      <w:r w:rsidRPr="00B07D79">
        <w:rPr>
          <w:rFonts w:asciiTheme="minorHAnsi" w:hAnsiTheme="minorHAnsi"/>
        </w:rPr>
        <w:t>tomuto palivu věří, převzalo po Audi v</w:t>
      </w:r>
      <w:r w:rsidR="00CF2351" w:rsidRPr="00B07D79">
        <w:rPr>
          <w:rFonts w:asciiTheme="minorHAnsi" w:hAnsiTheme="minorHAnsi"/>
        </w:rPr>
        <w:t> </w:t>
      </w:r>
      <w:r w:rsidRPr="00B07D79">
        <w:rPr>
          <w:rFonts w:asciiTheme="minorHAnsi" w:hAnsiTheme="minorHAnsi"/>
        </w:rPr>
        <w:t>posledních letech Porsche. Z</w:t>
      </w:r>
      <w:r w:rsidR="00CF2351" w:rsidRPr="00B07D79">
        <w:rPr>
          <w:rFonts w:asciiTheme="minorHAnsi" w:hAnsiTheme="minorHAnsi"/>
        </w:rPr>
        <w:t> </w:t>
      </w:r>
      <w:r w:rsidRPr="00B07D79">
        <w:rPr>
          <w:rFonts w:asciiTheme="minorHAnsi" w:hAnsiTheme="minorHAnsi"/>
        </w:rPr>
        <w:t>nadnárodních skupin stojí za zmínku Stellantis (mimo jiné Fiat, Peugeot, Citroen, DS, Opel, Dodge, Jeep), který</w:t>
      </w:r>
      <w:r w:rsidR="00A32D6B" w:rsidRPr="00B07D79">
        <w:rPr>
          <w:rFonts w:asciiTheme="minorHAnsi" w:hAnsiTheme="minorHAnsi"/>
        </w:rPr>
        <w:t> </w:t>
      </w:r>
      <w:r w:rsidRPr="00B07D79">
        <w:rPr>
          <w:rFonts w:asciiTheme="minorHAnsi" w:hAnsiTheme="minorHAnsi"/>
        </w:rPr>
        <w:t>nedávno dokončil srovnávací testy motorů vyráběných ve skupině a</w:t>
      </w:r>
      <w:r w:rsidR="00CF2351" w:rsidRPr="00B07D79">
        <w:rPr>
          <w:rFonts w:asciiTheme="minorHAnsi" w:hAnsiTheme="minorHAnsi"/>
        </w:rPr>
        <w:t> </w:t>
      </w:r>
      <w:r w:rsidRPr="00B07D79">
        <w:rPr>
          <w:rFonts w:asciiTheme="minorHAnsi" w:hAnsiTheme="minorHAnsi"/>
        </w:rPr>
        <w:t>deklaruje, že</w:t>
      </w:r>
      <w:r w:rsidR="00A32D6B" w:rsidRPr="00B07D79">
        <w:rPr>
          <w:rFonts w:asciiTheme="minorHAnsi" w:hAnsiTheme="minorHAnsi"/>
        </w:rPr>
        <w:t> </w:t>
      </w:r>
      <w:r w:rsidRPr="00B07D79">
        <w:rPr>
          <w:rFonts w:asciiTheme="minorHAnsi" w:hAnsiTheme="minorHAnsi"/>
        </w:rPr>
        <w:t>všechny jím prodávané vozy jsou „efuels</w:t>
      </w:r>
      <w:r w:rsidRPr="00B07D79">
        <w:rPr>
          <w:rFonts w:asciiTheme="minorHAnsi" w:hAnsiTheme="minorHAnsi"/>
          <w:lang w:val="en-GB"/>
        </w:rPr>
        <w:t xml:space="preserve"> ready“</w:t>
      </w:r>
      <w:r w:rsidRPr="00B07D79">
        <w:rPr>
          <w:rFonts w:asciiTheme="minorHAnsi" w:hAnsiTheme="minorHAnsi"/>
        </w:rPr>
        <w:t xml:space="preserve">. </w:t>
      </w:r>
    </w:p>
    <w:p w14:paraId="6EF89EF7" w14:textId="5FAD5727" w:rsidR="00BF2BD1" w:rsidRPr="00B07D79" w:rsidRDefault="00BF2BD1" w:rsidP="00B07D79">
      <w:pPr>
        <w:spacing w:line="276" w:lineRule="auto"/>
        <w:jc w:val="both"/>
        <w:rPr>
          <w:rFonts w:asciiTheme="minorHAnsi" w:hAnsiTheme="minorHAnsi"/>
        </w:rPr>
      </w:pPr>
      <w:r w:rsidRPr="00B07D79">
        <w:rPr>
          <w:rFonts w:asciiTheme="minorHAnsi" w:hAnsiTheme="minorHAnsi"/>
        </w:rPr>
        <w:t>Pokud jde o</w:t>
      </w:r>
      <w:r w:rsidR="00CF2351" w:rsidRPr="00B07D79">
        <w:rPr>
          <w:rFonts w:asciiTheme="minorHAnsi" w:hAnsiTheme="minorHAnsi"/>
        </w:rPr>
        <w:t> </w:t>
      </w:r>
      <w:r w:rsidRPr="00B07D79">
        <w:rPr>
          <w:rFonts w:asciiTheme="minorHAnsi" w:hAnsiTheme="minorHAnsi"/>
        </w:rPr>
        <w:t>výrobní kapacity, první demonstrační jednotky jsou již v</w:t>
      </w:r>
      <w:r w:rsidR="00CF2351" w:rsidRPr="00B07D79">
        <w:rPr>
          <w:rFonts w:asciiTheme="minorHAnsi" w:hAnsiTheme="minorHAnsi"/>
        </w:rPr>
        <w:t> </w:t>
      </w:r>
      <w:r w:rsidRPr="00B07D79">
        <w:rPr>
          <w:rFonts w:asciiTheme="minorHAnsi" w:hAnsiTheme="minorHAnsi"/>
        </w:rPr>
        <w:t>provozu. Kromě dvou malých připravených ještě firmou Porsche, jsou v</w:t>
      </w:r>
      <w:r w:rsidR="00CF2351" w:rsidRPr="00B07D79">
        <w:rPr>
          <w:rFonts w:asciiTheme="minorHAnsi" w:hAnsiTheme="minorHAnsi"/>
        </w:rPr>
        <w:t> </w:t>
      </w:r>
      <w:r w:rsidRPr="00B07D79">
        <w:rPr>
          <w:rFonts w:asciiTheme="minorHAnsi" w:hAnsiTheme="minorHAnsi"/>
        </w:rPr>
        <w:t>provozu nebo se dokončují jednotky v</w:t>
      </w:r>
      <w:r w:rsidR="00CF2351" w:rsidRPr="00B07D79">
        <w:rPr>
          <w:rFonts w:asciiTheme="minorHAnsi" w:hAnsiTheme="minorHAnsi"/>
        </w:rPr>
        <w:t> </w:t>
      </w:r>
      <w:r w:rsidRPr="00B07D79">
        <w:rPr>
          <w:rFonts w:asciiTheme="minorHAnsi" w:hAnsiTheme="minorHAnsi"/>
        </w:rPr>
        <w:t>Německu, Norsku a</w:t>
      </w:r>
      <w:r w:rsidR="00CF2351" w:rsidRPr="00B07D79">
        <w:rPr>
          <w:rFonts w:asciiTheme="minorHAnsi" w:hAnsiTheme="minorHAnsi"/>
        </w:rPr>
        <w:t> </w:t>
      </w:r>
      <w:r w:rsidRPr="00B07D79">
        <w:rPr>
          <w:rFonts w:asciiTheme="minorHAnsi" w:hAnsiTheme="minorHAnsi"/>
        </w:rPr>
        <w:t>Španělsku. Česku nejblíže j</w:t>
      </w:r>
      <w:r w:rsidR="004D3E9F" w:rsidRPr="00B07D79">
        <w:rPr>
          <w:rFonts w:asciiTheme="minorHAnsi" w:hAnsiTheme="minorHAnsi"/>
        </w:rPr>
        <w:t>sou</w:t>
      </w:r>
      <w:r w:rsidRPr="00B07D79">
        <w:rPr>
          <w:rFonts w:asciiTheme="minorHAnsi" w:hAnsiTheme="minorHAnsi"/>
        </w:rPr>
        <w:t xml:space="preserve"> v</w:t>
      </w:r>
      <w:r w:rsidR="00CF2351" w:rsidRPr="00B07D79">
        <w:rPr>
          <w:rFonts w:asciiTheme="minorHAnsi" w:hAnsiTheme="minorHAnsi"/>
        </w:rPr>
        <w:t> </w:t>
      </w:r>
      <w:r w:rsidRPr="00B07D79">
        <w:rPr>
          <w:rFonts w:asciiTheme="minorHAnsi" w:hAnsiTheme="minorHAnsi"/>
        </w:rPr>
        <w:t xml:space="preserve">tuto chvíli </w:t>
      </w:r>
      <w:r w:rsidR="004D3E9F" w:rsidRPr="00B07D79">
        <w:rPr>
          <w:rFonts w:asciiTheme="minorHAnsi" w:hAnsiTheme="minorHAnsi"/>
        </w:rPr>
        <w:t>poloprovozní jednotky v</w:t>
      </w:r>
      <w:r w:rsidR="00CF2351" w:rsidRPr="00B07D79">
        <w:rPr>
          <w:rFonts w:asciiTheme="minorHAnsi" w:hAnsiTheme="minorHAnsi"/>
        </w:rPr>
        <w:t> </w:t>
      </w:r>
      <w:r w:rsidR="004D3E9F" w:rsidRPr="00B07D79">
        <w:rPr>
          <w:rFonts w:asciiTheme="minorHAnsi" w:hAnsiTheme="minorHAnsi"/>
        </w:rPr>
        <w:t xml:space="preserve">Německu, </w:t>
      </w:r>
      <w:r w:rsidR="00A347AF" w:rsidRPr="00B07D79">
        <w:rPr>
          <w:rFonts w:asciiTheme="minorHAnsi" w:hAnsiTheme="minorHAnsi"/>
        </w:rPr>
        <w:t>konkrétně</w:t>
      </w:r>
      <w:r w:rsidR="004D3E9F" w:rsidRPr="00B07D79">
        <w:rPr>
          <w:rFonts w:asciiTheme="minorHAnsi" w:hAnsiTheme="minorHAnsi"/>
        </w:rPr>
        <w:t xml:space="preserve"> </w:t>
      </w:r>
      <w:r w:rsidRPr="00B07D79">
        <w:rPr>
          <w:rFonts w:asciiTheme="minorHAnsi" w:hAnsiTheme="minorHAnsi"/>
        </w:rPr>
        <w:t>„</w:t>
      </w:r>
      <w:r w:rsidRPr="00B07D79">
        <w:rPr>
          <w:rFonts w:asciiTheme="minorHAnsi" w:hAnsiTheme="minorHAnsi"/>
          <w:lang w:val="en-GB"/>
        </w:rPr>
        <w:t>Next Gate</w:t>
      </w:r>
      <w:r w:rsidRPr="00B07D79">
        <w:rPr>
          <w:rFonts w:asciiTheme="minorHAnsi" w:hAnsiTheme="minorHAnsi"/>
        </w:rPr>
        <w:t>“ v</w:t>
      </w:r>
      <w:r w:rsidR="00CF2351" w:rsidRPr="00B07D79">
        <w:rPr>
          <w:rFonts w:asciiTheme="minorHAnsi" w:hAnsiTheme="minorHAnsi"/>
        </w:rPr>
        <w:t> </w:t>
      </w:r>
      <w:r w:rsidRPr="00B07D79">
        <w:rPr>
          <w:rFonts w:asciiTheme="minorHAnsi" w:hAnsiTheme="minorHAnsi"/>
        </w:rPr>
        <w:t>Hamburku, na níž se podílí například firma Mabanaft</w:t>
      </w:r>
      <w:r w:rsidR="004D3E9F" w:rsidRPr="00B07D79">
        <w:rPr>
          <w:rFonts w:asciiTheme="minorHAnsi" w:hAnsiTheme="minorHAnsi"/>
        </w:rPr>
        <w:t xml:space="preserve"> a</w:t>
      </w:r>
      <w:r w:rsidR="00CF2351" w:rsidRPr="00B07D79">
        <w:rPr>
          <w:rFonts w:asciiTheme="minorHAnsi" w:hAnsiTheme="minorHAnsi"/>
        </w:rPr>
        <w:t> </w:t>
      </w:r>
      <w:r w:rsidR="004D3E9F" w:rsidRPr="00B07D79">
        <w:rPr>
          <w:rFonts w:asciiTheme="minorHAnsi" w:hAnsiTheme="minorHAnsi"/>
        </w:rPr>
        <w:t>zařízení firmy Sunfire v</w:t>
      </w:r>
      <w:r w:rsidR="00CF2351" w:rsidRPr="00B07D79">
        <w:rPr>
          <w:rFonts w:asciiTheme="minorHAnsi" w:hAnsiTheme="minorHAnsi"/>
        </w:rPr>
        <w:t> </w:t>
      </w:r>
      <w:r w:rsidR="004D3E9F" w:rsidRPr="00B07D79">
        <w:rPr>
          <w:rFonts w:asciiTheme="minorHAnsi" w:hAnsiTheme="minorHAnsi"/>
        </w:rPr>
        <w:t xml:space="preserve">Drážďanech umožňující produkovat </w:t>
      </w:r>
      <w:r w:rsidR="00B44587" w:rsidRPr="00B07D79">
        <w:rPr>
          <w:rFonts w:asciiTheme="minorHAnsi" w:hAnsiTheme="minorHAnsi"/>
        </w:rPr>
        <w:t>syntetické uhlovodíky elektrolýzou vody z</w:t>
      </w:r>
      <w:r w:rsidR="00CF2351" w:rsidRPr="00B07D79">
        <w:rPr>
          <w:rFonts w:asciiTheme="minorHAnsi" w:hAnsiTheme="minorHAnsi"/>
        </w:rPr>
        <w:t> </w:t>
      </w:r>
      <w:r w:rsidR="00B44587" w:rsidRPr="00B07D79">
        <w:rPr>
          <w:rFonts w:asciiTheme="minorHAnsi" w:hAnsiTheme="minorHAnsi"/>
        </w:rPr>
        <w:t>obnovitelné elektřiny a</w:t>
      </w:r>
      <w:r w:rsidR="00CF2351" w:rsidRPr="00B07D79">
        <w:rPr>
          <w:rFonts w:asciiTheme="minorHAnsi" w:hAnsiTheme="minorHAnsi"/>
        </w:rPr>
        <w:t> </w:t>
      </w:r>
      <w:r w:rsidR="00B44587" w:rsidRPr="00B07D79">
        <w:rPr>
          <w:rFonts w:asciiTheme="minorHAnsi" w:hAnsiTheme="minorHAnsi"/>
        </w:rPr>
        <w:t>zachytáváním CO</w:t>
      </w:r>
      <w:r w:rsidR="00B44587" w:rsidRPr="00B07D79">
        <w:rPr>
          <w:rFonts w:asciiTheme="minorHAnsi" w:hAnsiTheme="minorHAnsi"/>
          <w:vertAlign w:val="subscript"/>
        </w:rPr>
        <w:t>2</w:t>
      </w:r>
      <w:r w:rsidR="00B44587" w:rsidRPr="00B07D79">
        <w:rPr>
          <w:rFonts w:asciiTheme="minorHAnsi" w:hAnsiTheme="minorHAnsi"/>
        </w:rPr>
        <w:t>.</w:t>
      </w:r>
      <w:r w:rsidRPr="00B07D79">
        <w:rPr>
          <w:rFonts w:asciiTheme="minorHAnsi" w:hAnsiTheme="minorHAnsi"/>
        </w:rPr>
        <w:t xml:space="preserve"> Zatím největší jednotkou v</w:t>
      </w:r>
      <w:r w:rsidR="00CF2351" w:rsidRPr="00B07D79">
        <w:rPr>
          <w:rFonts w:asciiTheme="minorHAnsi" w:hAnsiTheme="minorHAnsi"/>
        </w:rPr>
        <w:t> </w:t>
      </w:r>
      <w:r w:rsidRPr="00B07D79">
        <w:rPr>
          <w:rFonts w:asciiTheme="minorHAnsi" w:hAnsiTheme="minorHAnsi"/>
        </w:rPr>
        <w:t xml:space="preserve">přípravě je projekt </w:t>
      </w:r>
      <w:r w:rsidRPr="00B07D79">
        <w:rPr>
          <w:rFonts w:asciiTheme="minorHAnsi" w:hAnsiTheme="minorHAnsi"/>
          <w:lang w:val="en-GB"/>
        </w:rPr>
        <w:t>ReuZ</w:t>
      </w:r>
      <w:r w:rsidRPr="00B07D79">
        <w:rPr>
          <w:rFonts w:asciiTheme="minorHAnsi" w:hAnsiTheme="minorHAnsi"/>
        </w:rPr>
        <w:t xml:space="preserve">e, který vzniká za spolupráce </w:t>
      </w:r>
      <w:r w:rsidRPr="00B07D79">
        <w:rPr>
          <w:rFonts w:asciiTheme="minorHAnsi" w:hAnsiTheme="minorHAnsi"/>
        </w:rPr>
        <w:lastRenderedPageBreak/>
        <w:t>Engie (elektrolyzéry), Infinium (syntéza e-paliv) a</w:t>
      </w:r>
      <w:r w:rsidR="00CF2351" w:rsidRPr="00B07D79">
        <w:rPr>
          <w:rFonts w:asciiTheme="minorHAnsi" w:hAnsiTheme="minorHAnsi"/>
        </w:rPr>
        <w:t> </w:t>
      </w:r>
      <w:r w:rsidRPr="00B07D79">
        <w:rPr>
          <w:rFonts w:asciiTheme="minorHAnsi" w:hAnsiTheme="minorHAnsi"/>
        </w:rPr>
        <w:t>ArcelorMi</w:t>
      </w:r>
      <w:r w:rsidR="00A347AF" w:rsidRPr="00B07D79">
        <w:rPr>
          <w:rFonts w:asciiTheme="minorHAnsi" w:hAnsiTheme="minorHAnsi"/>
        </w:rPr>
        <w:t>t</w:t>
      </w:r>
      <w:r w:rsidRPr="00B07D79">
        <w:rPr>
          <w:rFonts w:asciiTheme="minorHAnsi" w:hAnsiTheme="minorHAnsi"/>
        </w:rPr>
        <w:t>tal (dodávkaCO</w:t>
      </w:r>
      <w:r w:rsidRPr="00B07D79">
        <w:rPr>
          <w:rFonts w:asciiTheme="minorHAnsi" w:hAnsiTheme="minorHAnsi"/>
          <w:vertAlign w:val="subscript"/>
        </w:rPr>
        <w:t>2</w:t>
      </w:r>
      <w:r w:rsidRPr="00B07D79">
        <w:rPr>
          <w:rFonts w:asciiTheme="minorHAnsi" w:hAnsiTheme="minorHAnsi"/>
        </w:rPr>
        <w:t>) u</w:t>
      </w:r>
      <w:r w:rsidR="00CF2351" w:rsidRPr="00B07D79">
        <w:rPr>
          <w:rFonts w:asciiTheme="minorHAnsi" w:hAnsiTheme="minorHAnsi"/>
        </w:rPr>
        <w:t> </w:t>
      </w:r>
      <w:r w:rsidRPr="00B07D79">
        <w:rPr>
          <w:rFonts w:asciiTheme="minorHAnsi" w:hAnsiTheme="minorHAnsi"/>
        </w:rPr>
        <w:t>Dunkirku. Tato jednotka by měla ročně přeměnit na</w:t>
      </w:r>
      <w:r w:rsidR="00A32D6B" w:rsidRPr="00B07D79">
        <w:rPr>
          <w:rFonts w:asciiTheme="minorHAnsi" w:hAnsiTheme="minorHAnsi"/>
        </w:rPr>
        <w:t> </w:t>
      </w:r>
      <w:r w:rsidRPr="00B07D79">
        <w:rPr>
          <w:rFonts w:asciiTheme="minorHAnsi" w:hAnsiTheme="minorHAnsi"/>
        </w:rPr>
        <w:t>syntetická paliva 300</w:t>
      </w:r>
      <w:r w:rsidR="008B04ED" w:rsidRPr="00B07D79">
        <w:rPr>
          <w:rFonts w:asciiTheme="minorHAnsi" w:hAnsiTheme="minorHAnsi"/>
        </w:rPr>
        <w:t xml:space="preserve"> </w:t>
      </w:r>
      <w:r w:rsidRPr="00B07D79">
        <w:rPr>
          <w:rFonts w:asciiTheme="minorHAnsi" w:hAnsiTheme="minorHAnsi"/>
        </w:rPr>
        <w:t>000 tun CO</w:t>
      </w:r>
      <w:r w:rsidRPr="00B07D79">
        <w:rPr>
          <w:rFonts w:asciiTheme="minorHAnsi" w:hAnsiTheme="minorHAnsi"/>
          <w:vertAlign w:val="subscript"/>
        </w:rPr>
        <w:t>2</w:t>
      </w:r>
      <w:r w:rsidRPr="00B07D79">
        <w:rPr>
          <w:rFonts w:asciiTheme="minorHAnsi" w:hAnsiTheme="minorHAnsi"/>
        </w:rPr>
        <w:t>.</w:t>
      </w:r>
    </w:p>
    <w:p w14:paraId="77C4B1B6" w14:textId="439F7913" w:rsidR="00BF2BD1" w:rsidRPr="00B07D79" w:rsidRDefault="00BF2BD1" w:rsidP="00B07D79">
      <w:pPr>
        <w:spacing w:line="276" w:lineRule="auto"/>
        <w:jc w:val="both"/>
        <w:rPr>
          <w:rFonts w:asciiTheme="minorHAnsi" w:hAnsiTheme="minorHAnsi"/>
        </w:rPr>
      </w:pPr>
      <w:r w:rsidRPr="00B07D79">
        <w:rPr>
          <w:rFonts w:asciiTheme="minorHAnsi" w:hAnsiTheme="minorHAnsi"/>
        </w:rPr>
        <w:t>Není známo, že by České republice aktuálně probíhala příprava podobného projektu.</w:t>
      </w:r>
    </w:p>
    <w:p w14:paraId="4FE27F2A" w14:textId="383EFB69" w:rsidR="00BF2BD1" w:rsidRPr="00B07D79" w:rsidRDefault="00BF2BD1" w:rsidP="00B07D79">
      <w:pPr>
        <w:spacing w:line="276" w:lineRule="auto"/>
        <w:jc w:val="both"/>
        <w:rPr>
          <w:rFonts w:asciiTheme="minorHAnsi" w:hAnsiTheme="minorHAnsi"/>
        </w:rPr>
      </w:pPr>
      <w:r w:rsidRPr="00B07D79">
        <w:rPr>
          <w:rFonts w:asciiTheme="minorHAnsi" w:hAnsiTheme="minorHAnsi"/>
        </w:rPr>
        <w:t>Podle německé studie (</w:t>
      </w:r>
      <w:r w:rsidRPr="00B07D79">
        <w:rPr>
          <w:rFonts w:asciiTheme="minorHAnsi" w:hAnsiTheme="minorHAnsi"/>
          <w:lang w:val="en-GB"/>
        </w:rPr>
        <w:t>Frontier Economics: Synthetic Energy Sources – Perspectives for</w:t>
      </w:r>
      <w:r w:rsidR="00A32D6B" w:rsidRPr="00B07D79">
        <w:rPr>
          <w:rFonts w:asciiTheme="minorHAnsi" w:hAnsiTheme="minorHAnsi"/>
          <w:lang w:val="en-GB"/>
        </w:rPr>
        <w:t> </w:t>
      </w:r>
      <w:r w:rsidRPr="00B07D79">
        <w:rPr>
          <w:rFonts w:asciiTheme="minorHAnsi" w:hAnsiTheme="minorHAnsi"/>
          <w:lang w:val="en-GB"/>
        </w:rPr>
        <w:t>German Economy and International Trade)</w:t>
      </w:r>
      <w:r w:rsidRPr="00B07D79">
        <w:rPr>
          <w:rFonts w:asciiTheme="minorHAnsi" w:hAnsiTheme="minorHAnsi"/>
        </w:rPr>
        <w:t xml:space="preserve"> může rozvoj produkce syntetických paliv v</w:t>
      </w:r>
      <w:r w:rsidR="00CF2351" w:rsidRPr="00B07D79">
        <w:rPr>
          <w:rFonts w:asciiTheme="minorHAnsi" w:hAnsiTheme="minorHAnsi"/>
        </w:rPr>
        <w:t> </w:t>
      </w:r>
      <w:r w:rsidRPr="00B07D79">
        <w:rPr>
          <w:rFonts w:asciiTheme="minorHAnsi" w:hAnsiTheme="minorHAnsi"/>
        </w:rPr>
        <w:t>decentralizovaných jednotkách přinést až 175</w:t>
      </w:r>
      <w:r w:rsidR="009D43FA" w:rsidRPr="00B07D79">
        <w:rPr>
          <w:rFonts w:asciiTheme="minorHAnsi" w:hAnsiTheme="minorHAnsi"/>
        </w:rPr>
        <w:t xml:space="preserve"> </w:t>
      </w:r>
      <w:r w:rsidRPr="00B07D79">
        <w:rPr>
          <w:rFonts w:asciiTheme="minorHAnsi" w:hAnsiTheme="minorHAnsi"/>
        </w:rPr>
        <w:t>000 nových přímých pracovních míst.</w:t>
      </w:r>
    </w:p>
    <w:p w14:paraId="3F354566" w14:textId="61D4F2F9" w:rsidR="00BF2BD1" w:rsidRPr="00B07D79" w:rsidRDefault="00BF2BD1" w:rsidP="00B07D79">
      <w:pPr>
        <w:spacing w:line="276" w:lineRule="auto"/>
        <w:jc w:val="both"/>
        <w:rPr>
          <w:rFonts w:asciiTheme="minorHAnsi" w:hAnsiTheme="minorHAnsi"/>
        </w:rPr>
      </w:pPr>
      <w:r w:rsidRPr="00B07D79">
        <w:rPr>
          <w:rFonts w:asciiTheme="minorHAnsi" w:hAnsiTheme="minorHAnsi"/>
        </w:rPr>
        <w:t>I podle studie švýcarské společnosti Prognos zpracované společně s</w:t>
      </w:r>
      <w:r w:rsidR="00CF2351" w:rsidRPr="00B07D79">
        <w:rPr>
          <w:rFonts w:asciiTheme="minorHAnsi" w:hAnsiTheme="minorHAnsi"/>
        </w:rPr>
        <w:t> </w:t>
      </w:r>
      <w:r w:rsidRPr="00B07D79">
        <w:rPr>
          <w:rFonts w:asciiTheme="minorHAnsi" w:hAnsiTheme="minorHAnsi"/>
        </w:rPr>
        <w:t>Fraunhoferovým Institutem (Status and</w:t>
      </w:r>
      <w:r w:rsidRPr="00B07D79">
        <w:rPr>
          <w:rFonts w:asciiTheme="minorHAnsi" w:hAnsiTheme="minorHAnsi"/>
          <w:lang w:val="en-GB"/>
        </w:rPr>
        <w:t xml:space="preserve"> Perspectives of Liquid Energy Sources in the Energy Transition)</w:t>
      </w:r>
      <w:r w:rsidRPr="00B07D79">
        <w:rPr>
          <w:rFonts w:asciiTheme="minorHAnsi" w:hAnsiTheme="minorHAnsi"/>
        </w:rPr>
        <w:t xml:space="preserve"> jsou syntetická paliva nepostradatelnou součástí dekarbonizace v</w:t>
      </w:r>
      <w:r w:rsidR="00CF2351" w:rsidRPr="00B07D79">
        <w:rPr>
          <w:rFonts w:asciiTheme="minorHAnsi" w:hAnsiTheme="minorHAnsi"/>
        </w:rPr>
        <w:t> </w:t>
      </w:r>
      <w:r w:rsidRPr="00B07D79">
        <w:rPr>
          <w:rFonts w:asciiTheme="minorHAnsi" w:hAnsiTheme="minorHAnsi"/>
        </w:rPr>
        <w:t>dopravě. Přitom je potřeba investovat do dalšího vývoje a</w:t>
      </w:r>
      <w:r w:rsidR="00CF2351" w:rsidRPr="00B07D79">
        <w:rPr>
          <w:rFonts w:asciiTheme="minorHAnsi" w:hAnsiTheme="minorHAnsi"/>
        </w:rPr>
        <w:t> </w:t>
      </w:r>
      <w:r w:rsidRPr="00B07D79">
        <w:rPr>
          <w:rFonts w:asciiTheme="minorHAnsi" w:hAnsiTheme="minorHAnsi"/>
        </w:rPr>
        <w:t>zefektivnění elektrolýzy, syntézy i</w:t>
      </w:r>
      <w:r w:rsidR="00CF2351" w:rsidRPr="00B07D79">
        <w:rPr>
          <w:rFonts w:asciiTheme="minorHAnsi" w:hAnsiTheme="minorHAnsi"/>
        </w:rPr>
        <w:t> </w:t>
      </w:r>
      <w:r w:rsidRPr="00B07D79">
        <w:rPr>
          <w:rFonts w:asciiTheme="minorHAnsi" w:hAnsiTheme="minorHAnsi"/>
        </w:rPr>
        <w:t>získávání CO</w:t>
      </w:r>
      <w:r w:rsidRPr="00B07D79">
        <w:rPr>
          <w:rFonts w:asciiTheme="minorHAnsi" w:hAnsiTheme="minorHAnsi"/>
          <w:vertAlign w:val="subscript"/>
        </w:rPr>
        <w:t>2</w:t>
      </w:r>
      <w:r w:rsidRPr="00B07D79">
        <w:rPr>
          <w:rFonts w:asciiTheme="minorHAnsi" w:hAnsiTheme="minorHAnsi"/>
        </w:rPr>
        <w:t xml:space="preserve"> z</w:t>
      </w:r>
      <w:r w:rsidR="00CF2351" w:rsidRPr="00B07D79">
        <w:rPr>
          <w:rFonts w:asciiTheme="minorHAnsi" w:hAnsiTheme="minorHAnsi"/>
        </w:rPr>
        <w:t> </w:t>
      </w:r>
      <w:r w:rsidRPr="00B07D79">
        <w:rPr>
          <w:rFonts w:asciiTheme="minorHAnsi" w:hAnsiTheme="minorHAnsi"/>
        </w:rPr>
        <w:t>ovzduší, aby</w:t>
      </w:r>
      <w:r w:rsidR="00A32D6B" w:rsidRPr="00B07D79">
        <w:rPr>
          <w:rFonts w:asciiTheme="minorHAnsi" w:hAnsiTheme="minorHAnsi"/>
        </w:rPr>
        <w:t> </w:t>
      </w:r>
      <w:r w:rsidRPr="00B07D79">
        <w:rPr>
          <w:rFonts w:asciiTheme="minorHAnsi" w:hAnsiTheme="minorHAnsi"/>
        </w:rPr>
        <w:t>mohla syntetická paliva v</w:t>
      </w:r>
      <w:r w:rsidR="00CF2351" w:rsidRPr="00B07D79">
        <w:rPr>
          <w:rFonts w:asciiTheme="minorHAnsi" w:hAnsiTheme="minorHAnsi"/>
        </w:rPr>
        <w:t> </w:t>
      </w:r>
      <w:r w:rsidRPr="00B07D79">
        <w:rPr>
          <w:rFonts w:asciiTheme="minorHAnsi" w:hAnsiTheme="minorHAnsi"/>
        </w:rPr>
        <w:t>dohledné budoucnosti konkurovat fosilním palivům i</w:t>
      </w:r>
      <w:r w:rsidR="00CF2351" w:rsidRPr="00B07D79">
        <w:rPr>
          <w:rFonts w:asciiTheme="minorHAnsi" w:hAnsiTheme="minorHAnsi"/>
        </w:rPr>
        <w:t> </w:t>
      </w:r>
      <w:r w:rsidRPr="00B07D79">
        <w:rPr>
          <w:rFonts w:asciiTheme="minorHAnsi" w:hAnsiTheme="minorHAnsi"/>
        </w:rPr>
        <w:t>bez</w:t>
      </w:r>
      <w:r w:rsidR="00A32D6B" w:rsidRPr="00B07D79">
        <w:rPr>
          <w:rFonts w:asciiTheme="minorHAnsi" w:hAnsiTheme="minorHAnsi"/>
        </w:rPr>
        <w:t> </w:t>
      </w:r>
      <w:r w:rsidRPr="00B07D79">
        <w:rPr>
          <w:rFonts w:asciiTheme="minorHAnsi" w:hAnsiTheme="minorHAnsi"/>
        </w:rPr>
        <w:t>subvencí.</w:t>
      </w:r>
    </w:p>
    <w:p w14:paraId="414AF776" w14:textId="5F279066" w:rsidR="00542F6F" w:rsidRPr="00B07D79" w:rsidRDefault="00BF2BD1" w:rsidP="00B07D79">
      <w:pPr>
        <w:spacing w:line="276" w:lineRule="auto"/>
        <w:jc w:val="both"/>
        <w:rPr>
          <w:rFonts w:asciiTheme="minorHAnsi" w:hAnsiTheme="minorHAnsi"/>
        </w:rPr>
      </w:pPr>
      <w:r w:rsidRPr="00B07D79">
        <w:rPr>
          <w:rFonts w:asciiTheme="minorHAnsi" w:hAnsiTheme="minorHAnsi"/>
        </w:rPr>
        <w:t>Ačkoli jde o</w:t>
      </w:r>
      <w:r w:rsidR="00CF2351" w:rsidRPr="00B07D79">
        <w:rPr>
          <w:rFonts w:asciiTheme="minorHAnsi" w:hAnsiTheme="minorHAnsi"/>
        </w:rPr>
        <w:t> </w:t>
      </w:r>
      <w:r w:rsidRPr="00B07D79">
        <w:rPr>
          <w:rFonts w:asciiTheme="minorHAnsi" w:hAnsiTheme="minorHAnsi"/>
        </w:rPr>
        <w:t>známou technologii, jsou syntetická paliva teprve na počátku plošného nasazení. K</w:t>
      </w:r>
      <w:r w:rsidR="00CF2351" w:rsidRPr="00B07D79">
        <w:rPr>
          <w:rFonts w:asciiTheme="minorHAnsi" w:hAnsiTheme="minorHAnsi"/>
        </w:rPr>
        <w:t> </w:t>
      </w:r>
      <w:r w:rsidRPr="00B07D79">
        <w:rPr>
          <w:rFonts w:asciiTheme="minorHAnsi" w:hAnsiTheme="minorHAnsi"/>
        </w:rPr>
        <w:t>tomu je nezbytný další vývoj, který musí přinést další zefektivnění výrobního procesu.</w:t>
      </w:r>
    </w:p>
    <w:p w14:paraId="12A4B971" w14:textId="60EEB963"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Shrnutí</w:t>
      </w:r>
    </w:p>
    <w:p w14:paraId="546AE4DD" w14:textId="77777777" w:rsidR="00BF2BD1" w:rsidRPr="00B07D79" w:rsidRDefault="00BF2BD1" w:rsidP="00B07D79">
      <w:pPr>
        <w:spacing w:line="276" w:lineRule="auto"/>
        <w:jc w:val="both"/>
        <w:rPr>
          <w:rFonts w:asciiTheme="minorHAnsi" w:hAnsiTheme="minorHAnsi"/>
        </w:rPr>
      </w:pPr>
      <w:r w:rsidRPr="00B07D79">
        <w:rPr>
          <w:rFonts w:asciiTheme="minorHAnsi" w:hAnsiTheme="minorHAnsi"/>
        </w:rPr>
        <w:t>Syntetická paliva (e-paliva) mají nesporná pozitiva</w:t>
      </w:r>
    </w:p>
    <w:p w14:paraId="23DAD0B2" w14:textId="4E239FA7"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Jsou bez úpravy využitelná v</w:t>
      </w:r>
      <w:r w:rsidR="00CF2351" w:rsidRPr="00B07D79">
        <w:rPr>
          <w:rFonts w:asciiTheme="minorHAnsi" w:hAnsiTheme="minorHAnsi"/>
        </w:rPr>
        <w:t> </w:t>
      </w:r>
      <w:r w:rsidRPr="00B07D79">
        <w:rPr>
          <w:rFonts w:asciiTheme="minorHAnsi" w:hAnsiTheme="minorHAnsi"/>
        </w:rPr>
        <w:t>existujícím vozovém parku</w:t>
      </w:r>
      <w:r w:rsidR="006F34B6" w:rsidRPr="00B07D79">
        <w:rPr>
          <w:rFonts w:asciiTheme="minorHAnsi" w:hAnsiTheme="minorHAnsi"/>
        </w:rPr>
        <w:t>,</w:t>
      </w:r>
    </w:p>
    <w:p w14:paraId="1C851169" w14:textId="5F74B8C6"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Lze je snadno a</w:t>
      </w:r>
      <w:r w:rsidR="00CF2351" w:rsidRPr="00B07D79">
        <w:rPr>
          <w:rFonts w:asciiTheme="minorHAnsi" w:hAnsiTheme="minorHAnsi"/>
        </w:rPr>
        <w:t> </w:t>
      </w:r>
      <w:r w:rsidRPr="00B07D79">
        <w:rPr>
          <w:rFonts w:asciiTheme="minorHAnsi" w:hAnsiTheme="minorHAnsi"/>
        </w:rPr>
        <w:t>delší dobu skladovat</w:t>
      </w:r>
      <w:r w:rsidR="006F34B6" w:rsidRPr="00B07D79">
        <w:rPr>
          <w:rFonts w:asciiTheme="minorHAnsi" w:hAnsiTheme="minorHAnsi"/>
        </w:rPr>
        <w:t>,</w:t>
      </w:r>
      <w:r w:rsidRPr="00B07D79">
        <w:rPr>
          <w:rFonts w:asciiTheme="minorHAnsi" w:hAnsiTheme="minorHAnsi"/>
        </w:rPr>
        <w:t xml:space="preserve"> </w:t>
      </w:r>
    </w:p>
    <w:p w14:paraId="37F9AD55" w14:textId="77777777"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Lze je snadno distribuovat pomocí stávající infrastruktury</w:t>
      </w:r>
      <w:r w:rsidR="006F34B6" w:rsidRPr="00B07D79">
        <w:rPr>
          <w:rFonts w:asciiTheme="minorHAnsi" w:hAnsiTheme="minorHAnsi"/>
        </w:rPr>
        <w:t>,</w:t>
      </w:r>
    </w:p>
    <w:p w14:paraId="007B5499" w14:textId="3426EE94"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Jsou volně mísitelná s</w:t>
      </w:r>
      <w:r w:rsidR="00CF2351" w:rsidRPr="00B07D79">
        <w:rPr>
          <w:rFonts w:asciiTheme="minorHAnsi" w:hAnsiTheme="minorHAnsi"/>
        </w:rPr>
        <w:t> </w:t>
      </w:r>
      <w:r w:rsidRPr="00B07D79">
        <w:rPr>
          <w:rFonts w:asciiTheme="minorHAnsi" w:hAnsiTheme="minorHAnsi"/>
        </w:rPr>
        <w:t>klasickými fosilními palivy</w:t>
      </w:r>
      <w:r w:rsidR="006F34B6" w:rsidRPr="00B07D79">
        <w:rPr>
          <w:rFonts w:asciiTheme="minorHAnsi" w:hAnsiTheme="minorHAnsi"/>
        </w:rPr>
        <w:t>,</w:t>
      </w:r>
    </w:p>
    <w:p w14:paraId="16692656" w14:textId="0826CC76"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Mohou tedy přispět bez velkých investic do infrastruktury a</w:t>
      </w:r>
      <w:r w:rsidR="00CF2351" w:rsidRPr="00B07D79">
        <w:rPr>
          <w:rFonts w:asciiTheme="minorHAnsi" w:hAnsiTheme="minorHAnsi"/>
        </w:rPr>
        <w:t> </w:t>
      </w:r>
      <w:r w:rsidRPr="00B07D79">
        <w:rPr>
          <w:rFonts w:asciiTheme="minorHAnsi" w:hAnsiTheme="minorHAnsi"/>
        </w:rPr>
        <w:t>obměny vozového parku k</w:t>
      </w:r>
      <w:r w:rsidR="00CF2351" w:rsidRPr="00B07D79">
        <w:rPr>
          <w:rFonts w:asciiTheme="minorHAnsi" w:hAnsiTheme="minorHAnsi"/>
        </w:rPr>
        <w:t> </w:t>
      </w:r>
      <w:r w:rsidRPr="00B07D79">
        <w:rPr>
          <w:rFonts w:asciiTheme="minorHAnsi" w:hAnsiTheme="minorHAnsi"/>
        </w:rPr>
        <w:t>rychlé dekarbonizaci dopravy</w:t>
      </w:r>
      <w:r w:rsidR="006F34B6" w:rsidRPr="00B07D79">
        <w:rPr>
          <w:rFonts w:asciiTheme="minorHAnsi" w:hAnsiTheme="minorHAnsi"/>
        </w:rPr>
        <w:t>,</w:t>
      </w:r>
    </w:p>
    <w:p w14:paraId="5AF05FEC" w14:textId="4D0986B0" w:rsidR="00BF2BD1" w:rsidRPr="00B07D79" w:rsidRDefault="00BF2BD1" w:rsidP="00B07D79">
      <w:pPr>
        <w:pStyle w:val="Bullet1"/>
        <w:spacing w:line="276" w:lineRule="auto"/>
        <w:jc w:val="both"/>
        <w:rPr>
          <w:rFonts w:asciiTheme="minorHAnsi" w:hAnsiTheme="minorHAnsi"/>
        </w:rPr>
      </w:pPr>
      <w:r w:rsidRPr="00B07D79">
        <w:rPr>
          <w:rFonts w:asciiTheme="minorHAnsi" w:hAnsiTheme="minorHAnsi"/>
        </w:rPr>
        <w:t>Pro některé typy aplikací jsou alternativou (osobní individuální doprava), pro některé výhodou (nákladní doprava), pro některé nezbytnost</w:t>
      </w:r>
      <w:r w:rsidR="006C4087" w:rsidRPr="00B07D79">
        <w:rPr>
          <w:rFonts w:asciiTheme="minorHAnsi" w:hAnsiTheme="minorHAnsi"/>
        </w:rPr>
        <w:t>i</w:t>
      </w:r>
      <w:r w:rsidRPr="00B07D79">
        <w:rPr>
          <w:rFonts w:asciiTheme="minorHAnsi" w:hAnsiTheme="minorHAnsi"/>
        </w:rPr>
        <w:t xml:space="preserve"> (letecká doprava, integrovaný záchranný systém…)</w:t>
      </w:r>
      <w:r w:rsidR="006F34B6" w:rsidRPr="00B07D79">
        <w:rPr>
          <w:rFonts w:asciiTheme="minorHAnsi" w:hAnsiTheme="minorHAnsi"/>
        </w:rPr>
        <w:t>.</w:t>
      </w:r>
    </w:p>
    <w:p w14:paraId="62BD4764" w14:textId="0BDB8674" w:rsidR="00542F6F" w:rsidRPr="00B07D79" w:rsidRDefault="00BF2BD1" w:rsidP="00B07D79">
      <w:pPr>
        <w:spacing w:line="276" w:lineRule="auto"/>
        <w:jc w:val="both"/>
        <w:rPr>
          <w:rFonts w:asciiTheme="minorHAnsi" w:hAnsiTheme="minorHAnsi"/>
        </w:rPr>
      </w:pPr>
      <w:r w:rsidRPr="00B07D79">
        <w:rPr>
          <w:rFonts w:asciiTheme="minorHAnsi" w:hAnsiTheme="minorHAnsi"/>
        </w:rPr>
        <w:t>Hlavními známými nevýhodami jsou energetická neefektivita a</w:t>
      </w:r>
      <w:r w:rsidR="00CF2351" w:rsidRPr="00B07D79">
        <w:rPr>
          <w:rFonts w:asciiTheme="minorHAnsi" w:hAnsiTheme="minorHAnsi"/>
        </w:rPr>
        <w:t> </w:t>
      </w:r>
      <w:r w:rsidRPr="00B07D79">
        <w:rPr>
          <w:rFonts w:asciiTheme="minorHAnsi" w:hAnsiTheme="minorHAnsi"/>
        </w:rPr>
        <w:t>výrobní cena. Tyto nevýhody ale lze odstranit tím, že výroba syntetických paliv bude probíhat v</w:t>
      </w:r>
      <w:r w:rsidR="00CF2351" w:rsidRPr="00B07D79">
        <w:rPr>
          <w:rFonts w:asciiTheme="minorHAnsi" w:hAnsiTheme="minorHAnsi"/>
        </w:rPr>
        <w:t> </w:t>
      </w:r>
      <w:r w:rsidRPr="00B07D79">
        <w:rPr>
          <w:rFonts w:asciiTheme="minorHAnsi" w:hAnsiTheme="minorHAnsi"/>
        </w:rPr>
        <w:t>místech, kde lze získávat čistou energii mnohem efektivněji než v</w:t>
      </w:r>
      <w:r w:rsidR="00CF2351" w:rsidRPr="00B07D79">
        <w:rPr>
          <w:rFonts w:asciiTheme="minorHAnsi" w:hAnsiTheme="minorHAnsi"/>
        </w:rPr>
        <w:t> </w:t>
      </w:r>
      <w:r w:rsidRPr="00B07D79">
        <w:rPr>
          <w:rFonts w:asciiTheme="minorHAnsi" w:hAnsiTheme="minorHAnsi"/>
        </w:rPr>
        <w:t xml:space="preserve">Evropě. </w:t>
      </w:r>
    </w:p>
    <w:p w14:paraId="64563C73" w14:textId="7404444E" w:rsidR="00BF2BD1" w:rsidRPr="003C103E" w:rsidRDefault="00BF2BD1" w:rsidP="00B07D79">
      <w:pPr>
        <w:spacing w:line="276" w:lineRule="auto"/>
        <w:jc w:val="both"/>
        <w:rPr>
          <w:rFonts w:asciiTheme="minorHAnsi" w:hAnsiTheme="minorHAnsi"/>
          <w:color w:val="385623" w:themeColor="accent6" w:themeShade="80"/>
          <w:sz w:val="24"/>
          <w:szCs w:val="28"/>
        </w:rPr>
      </w:pPr>
      <w:r w:rsidRPr="003C103E">
        <w:rPr>
          <w:rFonts w:asciiTheme="minorHAnsi" w:hAnsiTheme="minorHAnsi"/>
          <w:color w:val="385623" w:themeColor="accent6" w:themeShade="80"/>
          <w:sz w:val="24"/>
          <w:szCs w:val="28"/>
        </w:rPr>
        <w:t>Závěr</w:t>
      </w:r>
    </w:p>
    <w:p w14:paraId="5B59F47F" w14:textId="2000D149" w:rsidR="00BF2BD1" w:rsidRPr="00B07D79" w:rsidRDefault="00BF2BD1" w:rsidP="00B07D79">
      <w:pPr>
        <w:spacing w:line="276" w:lineRule="auto"/>
        <w:jc w:val="both"/>
        <w:rPr>
          <w:rFonts w:asciiTheme="minorHAnsi" w:hAnsiTheme="minorHAnsi"/>
        </w:rPr>
      </w:pPr>
      <w:r w:rsidRPr="00B07D79">
        <w:rPr>
          <w:rFonts w:asciiTheme="minorHAnsi" w:hAnsiTheme="minorHAnsi"/>
        </w:rPr>
        <w:t>S ohledem na tradice chemické výroby v</w:t>
      </w:r>
      <w:r w:rsidR="00CF2351" w:rsidRPr="00B07D79">
        <w:rPr>
          <w:rFonts w:asciiTheme="minorHAnsi" w:hAnsiTheme="minorHAnsi"/>
        </w:rPr>
        <w:t> </w:t>
      </w:r>
      <w:r w:rsidRPr="00B07D79">
        <w:rPr>
          <w:rFonts w:asciiTheme="minorHAnsi" w:hAnsiTheme="minorHAnsi"/>
        </w:rPr>
        <w:t xml:space="preserve">Česku by bylo výhodné investičně podpořit jednu nebo více testovacích výrobních jednotek. </w:t>
      </w:r>
      <w:r w:rsidR="00CC1143" w:rsidRPr="00B07D79">
        <w:rPr>
          <w:rFonts w:asciiTheme="minorHAnsi" w:hAnsiTheme="minorHAnsi"/>
        </w:rPr>
        <w:t>Primárním c</w:t>
      </w:r>
      <w:r w:rsidRPr="00B07D79">
        <w:rPr>
          <w:rFonts w:asciiTheme="minorHAnsi" w:hAnsiTheme="minorHAnsi"/>
        </w:rPr>
        <w:t>ílem není vyrábět syntetická paliva na</w:t>
      </w:r>
      <w:r w:rsidR="00A32D6B" w:rsidRPr="00B07D79">
        <w:rPr>
          <w:rFonts w:asciiTheme="minorHAnsi" w:hAnsiTheme="minorHAnsi"/>
        </w:rPr>
        <w:t> </w:t>
      </w:r>
      <w:r w:rsidRPr="00B07D79">
        <w:rPr>
          <w:rFonts w:asciiTheme="minorHAnsi" w:hAnsiTheme="minorHAnsi"/>
        </w:rPr>
        <w:t>území ČR, ale přispět vlastním know-how k</w:t>
      </w:r>
      <w:r w:rsidR="00CF2351" w:rsidRPr="00B07D79">
        <w:rPr>
          <w:rFonts w:asciiTheme="minorHAnsi" w:hAnsiTheme="minorHAnsi"/>
        </w:rPr>
        <w:t> </w:t>
      </w:r>
      <w:r w:rsidRPr="00B07D79">
        <w:rPr>
          <w:rFonts w:asciiTheme="minorHAnsi" w:hAnsiTheme="minorHAnsi"/>
        </w:rPr>
        <w:t>zefektivnění výroby tohoto typu paliv.</w:t>
      </w:r>
      <w:r w:rsidR="00CC1143" w:rsidRPr="00B07D79">
        <w:rPr>
          <w:rFonts w:asciiTheme="minorHAnsi" w:hAnsiTheme="minorHAnsi"/>
        </w:rPr>
        <w:t xml:space="preserve"> Zaměření ČR na oblast syntetických paliv musí být specifikováno na základě analýzy, která</w:t>
      </w:r>
      <w:r w:rsidR="00A32D6B" w:rsidRPr="00B07D79">
        <w:rPr>
          <w:rFonts w:asciiTheme="minorHAnsi" w:hAnsiTheme="minorHAnsi"/>
        </w:rPr>
        <w:t> </w:t>
      </w:r>
      <w:r w:rsidR="00CC1143" w:rsidRPr="00B07D79">
        <w:rPr>
          <w:rFonts w:asciiTheme="minorHAnsi" w:hAnsiTheme="minorHAnsi"/>
        </w:rPr>
        <w:t>je</w:t>
      </w:r>
      <w:r w:rsidR="00A32D6B" w:rsidRPr="00B07D79">
        <w:rPr>
          <w:rFonts w:asciiTheme="minorHAnsi" w:hAnsiTheme="minorHAnsi"/>
        </w:rPr>
        <w:t> </w:t>
      </w:r>
      <w:r w:rsidR="00CC1143" w:rsidRPr="00B07D79">
        <w:rPr>
          <w:rFonts w:asciiTheme="minorHAnsi" w:hAnsiTheme="minorHAnsi"/>
        </w:rPr>
        <w:t>připravována v</w:t>
      </w:r>
      <w:r w:rsidR="00CF2351" w:rsidRPr="00B07D79">
        <w:rPr>
          <w:rFonts w:asciiTheme="minorHAnsi" w:hAnsiTheme="minorHAnsi"/>
        </w:rPr>
        <w:t> </w:t>
      </w:r>
      <w:r w:rsidR="00CC1143" w:rsidRPr="00B07D79">
        <w:rPr>
          <w:rFonts w:asciiTheme="minorHAnsi" w:hAnsiTheme="minorHAnsi"/>
        </w:rPr>
        <w:t>rámci NAP CM ve smyslu karty opatření 1</w:t>
      </w:r>
      <w:r w:rsidR="00506814" w:rsidRPr="00B07D79">
        <w:rPr>
          <w:rFonts w:asciiTheme="minorHAnsi" w:hAnsiTheme="minorHAnsi"/>
        </w:rPr>
        <w:t>3</w:t>
      </w:r>
      <w:r w:rsidR="00CC1143" w:rsidRPr="00B07D79">
        <w:rPr>
          <w:rFonts w:asciiTheme="minorHAnsi" w:hAnsiTheme="minorHAnsi"/>
        </w:rPr>
        <w:t>.</w:t>
      </w:r>
      <w:r w:rsidR="003B7EF6" w:rsidRPr="00B07D79">
        <w:rPr>
          <w:rFonts w:asciiTheme="minorHAnsi" w:hAnsiTheme="minorHAnsi"/>
        </w:rPr>
        <w:t>6</w:t>
      </w:r>
      <w:r w:rsidR="00CC1143" w:rsidRPr="00B07D79">
        <w:rPr>
          <w:rFonts w:asciiTheme="minorHAnsi" w:hAnsiTheme="minorHAnsi"/>
        </w:rPr>
        <w:t>.</w:t>
      </w:r>
    </w:p>
    <w:p w14:paraId="575FE15F" w14:textId="77777777" w:rsidR="00A54BCC" w:rsidRPr="00B07D79" w:rsidRDefault="00A54BCC" w:rsidP="00B07D79">
      <w:pPr>
        <w:spacing w:line="276" w:lineRule="auto"/>
        <w:jc w:val="both"/>
        <w:rPr>
          <w:rFonts w:asciiTheme="minorHAnsi" w:hAnsiTheme="minorHAnsi"/>
        </w:rPr>
      </w:pPr>
    </w:p>
    <w:p w14:paraId="0056202A" w14:textId="17360CD8" w:rsidR="00A54BCC" w:rsidRPr="00B07D79" w:rsidRDefault="00A54BCC" w:rsidP="00B07D79">
      <w:pPr>
        <w:pStyle w:val="Zkratky"/>
        <w:spacing w:line="276" w:lineRule="auto"/>
        <w:jc w:val="both"/>
        <w:rPr>
          <w:rFonts w:asciiTheme="minorHAnsi" w:hAnsiTheme="minorHAnsi"/>
        </w:rPr>
      </w:pPr>
    </w:p>
    <w:sectPr w:rsidR="00A54BCC" w:rsidRPr="00B07D79" w:rsidSect="00974D63">
      <w:headerReference w:type="even" r:id="rId84"/>
      <w:footerReference w:type="default" r:id="rId85"/>
      <w:headerReference w:type="first" r:id="rId86"/>
      <w:type w:val="continuous"/>
      <w:pgSz w:w="11906" w:h="16838"/>
      <w:pgMar w:top="203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399F" w14:textId="77777777" w:rsidR="00FD18E4" w:rsidRDefault="00FD18E4" w:rsidP="00B20001">
      <w:r>
        <w:separator/>
      </w:r>
    </w:p>
  </w:endnote>
  <w:endnote w:type="continuationSeparator" w:id="0">
    <w:p w14:paraId="70E53C4F" w14:textId="77777777" w:rsidR="00FD18E4" w:rsidRDefault="00FD18E4" w:rsidP="00B20001">
      <w:r>
        <w:continuationSeparator/>
      </w:r>
    </w:p>
  </w:endnote>
  <w:endnote w:type="continuationNotice" w:id="1">
    <w:p w14:paraId="4652DFE9" w14:textId="77777777" w:rsidR="00FD18E4" w:rsidRDefault="00FD1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quot;Courier New&quot;">
    <w:altName w:val="Cambria"/>
    <w:charset w:val="00"/>
    <w:family w:val="roman"/>
    <w:pitch w:val="default"/>
  </w:font>
  <w:font w:name="Wingdings 2">
    <w:panose1 w:val="05020102010507070707"/>
    <w:charset w:val="02"/>
    <w:family w:val="roman"/>
    <w:pitch w:val="variable"/>
    <w:sig w:usb0="00000000" w:usb1="10000000" w:usb2="00000000" w:usb3="00000000" w:csb0="80000000" w:csb1="00000000"/>
  </w:font>
  <w:font w:name="&quot;Calibri&quot;,sans-serif">
    <w:altName w:val="Cambria"/>
    <w:charset w:val="00"/>
    <w:family w:val="roman"/>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Graphik LG Regular">
    <w:altName w:val="Calibri"/>
    <w:panose1 w:val="00000000000000000000"/>
    <w:charset w:val="00"/>
    <w:family w:val="swiss"/>
    <w:notTrueType/>
    <w:pitch w:val="variable"/>
    <w:sig w:usb0="00000087" w:usb1="00000000" w:usb2="00000000" w:usb3="00000000" w:csb0="0000009B"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E4FF" w14:textId="77777777" w:rsidR="00407426" w:rsidRDefault="00407426">
    <w:pPr>
      <w:pStyle w:val="Zpat"/>
      <w:framePr w:wrap="around" w:vAnchor="text" w:hAnchor="margin" w:xAlign="center" w:y="1"/>
    </w:pPr>
    <w:r>
      <w:fldChar w:fldCharType="begin"/>
    </w:r>
    <w:r>
      <w:instrText xml:space="preserve">PAGE  </w:instrText>
    </w:r>
    <w:r>
      <w:fldChar w:fldCharType="end"/>
    </w:r>
  </w:p>
  <w:p w14:paraId="2624D052" w14:textId="77777777" w:rsidR="00407426" w:rsidRDefault="0040742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BE12" w14:textId="77777777" w:rsidR="00407426" w:rsidRDefault="00407426">
    <w:pPr>
      <w:pStyle w:val="Zpat"/>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FA85" w14:textId="73F5F527" w:rsidR="00BC0572" w:rsidRDefault="00BC0572">
    <w:pPr>
      <w:pStyle w:val="Zpat"/>
      <w:pBdr>
        <w:top w:val="single" w:sz="4" w:space="1" w:color="auto"/>
      </w:pBdr>
    </w:pPr>
    <w:r w:rsidRPr="004A4457">
      <w:rPr>
        <w:sz w:val="20"/>
        <w:szCs w:val="22"/>
      </w:rPr>
      <w:t>Aktualizace NAP CM 202</w:t>
    </w:r>
    <w:r w:rsidR="00F12A14" w:rsidRPr="004A4457">
      <w:rPr>
        <w:sz w:val="20"/>
        <w:szCs w:val="22"/>
      </w:rPr>
      <w:t>4</w:t>
    </w:r>
    <w:r w:rsidR="00750C85" w:rsidRPr="004A4457">
      <w:rPr>
        <w:sz w:val="20"/>
        <w:szCs w:val="22"/>
      </w:rPr>
      <w:t xml:space="preserve"> - příloh</w:t>
    </w:r>
    <w:r w:rsidR="00496122" w:rsidRPr="004A4457">
      <w:rPr>
        <w:sz w:val="20"/>
        <w:szCs w:val="22"/>
      </w:rPr>
      <w:t>y</w:t>
    </w:r>
    <w:r>
      <w:tab/>
    </w:r>
    <w:r w:rsidRPr="004A4457">
      <w:rPr>
        <w:sz w:val="20"/>
        <w:szCs w:val="22"/>
      </w:rPr>
      <w:fldChar w:fldCharType="begin"/>
    </w:r>
    <w:r w:rsidRPr="004A4457">
      <w:rPr>
        <w:sz w:val="20"/>
        <w:szCs w:val="22"/>
      </w:rPr>
      <w:instrText xml:space="preserve"> PAGE  \* MERGEFORMAT </w:instrText>
    </w:r>
    <w:r w:rsidRPr="004A4457">
      <w:rPr>
        <w:sz w:val="20"/>
        <w:szCs w:val="22"/>
      </w:rPr>
      <w:fldChar w:fldCharType="separate"/>
    </w:r>
    <w:r w:rsidRPr="004A4457">
      <w:rPr>
        <w:noProof/>
        <w:sz w:val="20"/>
        <w:szCs w:val="22"/>
      </w:rPr>
      <w:t>3</w:t>
    </w:r>
    <w:r w:rsidRPr="004A4457">
      <w:rPr>
        <w:sz w:val="20"/>
        <w:szCs w:val="22"/>
      </w:rPr>
      <w:fldChar w:fldCharType="end"/>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50D9" w14:textId="48A09B10" w:rsidR="00EE4D41" w:rsidRDefault="00EE4D41">
    <w:pPr>
      <w:pStyle w:val="Zpat"/>
      <w:pBdr>
        <w:top w:val="single" w:sz="4" w:space="1" w:color="auto"/>
      </w:pBdr>
    </w:pPr>
    <w:r>
      <w:t>Aktualizace NAP CM 202</w:t>
    </w:r>
    <w:r w:rsidR="00E95782">
      <w:t>4</w:t>
    </w:r>
    <w:r>
      <w:tab/>
    </w:r>
    <w:r>
      <w:fldChar w:fldCharType="begin"/>
    </w:r>
    <w:r>
      <w:instrText xml:space="preserve"> PAGE  \* MERGEFORMAT </w:instrText>
    </w:r>
    <w:r>
      <w:fldChar w:fldCharType="separate"/>
    </w:r>
    <w:r>
      <w:rPr>
        <w:noProof/>
      </w:rPr>
      <w:t>3</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2F68C" w14:textId="77777777" w:rsidR="00FD18E4" w:rsidRDefault="00FD18E4">
      <w:r>
        <w:separator/>
      </w:r>
    </w:p>
  </w:footnote>
  <w:footnote w:type="continuationSeparator" w:id="0">
    <w:p w14:paraId="04869ACE" w14:textId="77777777" w:rsidR="00FD18E4" w:rsidRDefault="00FD18E4">
      <w:r>
        <w:continuationSeparator/>
      </w:r>
    </w:p>
  </w:footnote>
  <w:footnote w:type="continuationNotice" w:id="1">
    <w:p w14:paraId="42C93BF4" w14:textId="77777777" w:rsidR="00FD18E4" w:rsidRDefault="00FD18E4"/>
  </w:footnote>
  <w:footnote w:id="2">
    <w:p w14:paraId="1F5F71B2" w14:textId="77777777" w:rsidR="00E64B42" w:rsidRPr="004A18F5" w:rsidRDefault="00E64B42" w:rsidP="005D72CF">
      <w:pPr>
        <w:pStyle w:val="Textpoznpodarou"/>
        <w:jc w:val="both"/>
        <w:rPr>
          <w:rFonts w:asciiTheme="minorHAnsi" w:hAnsiTheme="minorHAnsi" w:cstheme="minorHAnsi"/>
        </w:rPr>
      </w:pPr>
      <w:r w:rsidRPr="004A18F5">
        <w:rPr>
          <w:rStyle w:val="Znakapoznpodarou"/>
          <w:rFonts w:asciiTheme="minorHAnsi" w:hAnsiTheme="minorHAnsi" w:cstheme="minorHAnsi"/>
        </w:rPr>
        <w:footnoteRef/>
      </w:r>
      <w:r w:rsidRPr="004A18F5">
        <w:rPr>
          <w:rFonts w:asciiTheme="minorHAnsi" w:hAnsiTheme="minorHAnsi" w:cstheme="minorHAnsi"/>
        </w:rPr>
        <w:t xml:space="preserve"> </w:t>
      </w:r>
      <w:hyperlink r:id="rId1" w:history="1">
        <w:r w:rsidRPr="004A18F5">
          <w:rPr>
            <w:rStyle w:val="Hypertextovodkaz"/>
            <w:rFonts w:asciiTheme="minorHAnsi" w:hAnsiTheme="minorHAnsi" w:cstheme="minorHAnsi"/>
            <w:color w:val="auto"/>
            <w:u w:val="none"/>
          </w:rPr>
          <w:t>https://eur-lex.europa.eu/legal-content/EN/TXT/PDF/?uri=CELEX:52023PC0160&amp;from=EN</w:t>
        </w:r>
      </w:hyperlink>
    </w:p>
  </w:footnote>
  <w:footnote w:id="3">
    <w:p w14:paraId="2B9972FC" w14:textId="77777777" w:rsidR="00E64B42" w:rsidRPr="00B07D79" w:rsidRDefault="00E64B42" w:rsidP="005D72CF">
      <w:pPr>
        <w:pStyle w:val="Textpoznpodarou"/>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w:t>
      </w:r>
      <w:hyperlink r:id="rId2" w:history="1">
        <w:r w:rsidRPr="00B07D79">
          <w:rPr>
            <w:rStyle w:val="Hypertextovodkaz"/>
            <w:rFonts w:asciiTheme="minorHAnsi" w:hAnsiTheme="minorHAnsi"/>
            <w:color w:val="auto"/>
            <w:u w:val="none"/>
          </w:rPr>
          <w:t>https://eur-lex.europa.eu/legal-content/CS/TXT/HTML/?uri=CELEX:52023DC0156&amp;from=EN</w:t>
        </w:r>
      </w:hyperlink>
    </w:p>
  </w:footnote>
  <w:footnote w:id="4">
    <w:p w14:paraId="38DD05AA" w14:textId="77777777" w:rsidR="00E64B42" w:rsidRPr="00B07D79" w:rsidRDefault="00E64B42" w:rsidP="009D0E24">
      <w:pPr>
        <w:pStyle w:val="Textpoznpodarou"/>
        <w:jc w:val="both"/>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w:t>
      </w:r>
      <w:hyperlink r:id="rId3" w:history="1">
        <w:r w:rsidRPr="00B07D79">
          <w:rPr>
            <w:rStyle w:val="Hypertextovodkaz"/>
            <w:rFonts w:asciiTheme="minorHAnsi" w:hAnsiTheme="minorHAnsi"/>
            <w:color w:val="auto"/>
            <w:u w:val="none"/>
          </w:rPr>
          <w:t>https://eur-lex.europa.eu/legal-content/CS/TXT/PDF/?uri=CELEX:32009R0443&amp;from=EN</w:t>
        </w:r>
      </w:hyperlink>
    </w:p>
  </w:footnote>
  <w:footnote w:id="5">
    <w:p w14:paraId="122F159D" w14:textId="77777777" w:rsidR="00E64B42" w:rsidRPr="00B07D79" w:rsidRDefault="00E64B42" w:rsidP="009D0E24">
      <w:pPr>
        <w:pStyle w:val="Textpoznpodarou"/>
        <w:jc w:val="both"/>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w:t>
      </w:r>
      <w:hyperlink r:id="rId4" w:history="1">
        <w:r w:rsidRPr="00B07D79">
          <w:rPr>
            <w:rStyle w:val="Hypertextovodkaz"/>
            <w:rFonts w:asciiTheme="minorHAnsi" w:hAnsiTheme="minorHAnsi"/>
            <w:color w:val="auto"/>
            <w:u w:val="none"/>
          </w:rPr>
          <w:t>https://eur-lex.europa.eu/legal-content/CS/ALL/?uri=CELEX:32011R0510</w:t>
        </w:r>
      </w:hyperlink>
    </w:p>
  </w:footnote>
  <w:footnote w:id="6">
    <w:p w14:paraId="482CD209" w14:textId="77777777" w:rsidR="00E64B42" w:rsidRDefault="00E64B42" w:rsidP="009D0E24">
      <w:pPr>
        <w:pStyle w:val="Textpoznpodarou"/>
        <w:jc w:val="both"/>
      </w:pPr>
      <w:r w:rsidRPr="00B07D79">
        <w:rPr>
          <w:rStyle w:val="Znakapoznpodarou"/>
          <w:rFonts w:asciiTheme="minorHAnsi" w:hAnsiTheme="minorHAnsi"/>
        </w:rPr>
        <w:footnoteRef/>
      </w:r>
      <w:r w:rsidRPr="00B07D79">
        <w:rPr>
          <w:rFonts w:asciiTheme="minorHAnsi" w:hAnsiTheme="minorHAnsi"/>
        </w:rPr>
        <w:t xml:space="preserve"> </w:t>
      </w:r>
      <w:hyperlink r:id="rId5" w:history="1">
        <w:r w:rsidRPr="00B07D79">
          <w:rPr>
            <w:rStyle w:val="Hypertextovodkaz"/>
            <w:rFonts w:asciiTheme="minorHAnsi" w:hAnsiTheme="minorHAnsi"/>
            <w:color w:val="auto"/>
            <w:u w:val="none"/>
          </w:rPr>
          <w:t>https://eur-lex.europa.eu/legal-content/EN/TXT/?uri=CELEX%3A52022PC0586</w:t>
        </w:r>
      </w:hyperlink>
      <w:r w:rsidRPr="00B07D79">
        <w:rPr>
          <w:rFonts w:asciiTheme="minorHAnsi" w:hAnsiTheme="minorHAnsi"/>
        </w:rPr>
        <w:t xml:space="preserve"> </w:t>
      </w:r>
    </w:p>
  </w:footnote>
  <w:footnote w:id="7">
    <w:p w14:paraId="6EF96B72" w14:textId="77777777" w:rsidR="00BF0350" w:rsidRPr="00B07D79" w:rsidRDefault="00BF0350" w:rsidP="00BF0350">
      <w:pPr>
        <w:pStyle w:val="Textpoznpodarou"/>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Rok 2019 bude v celém dokumentu brán jako relevantní rok pro srovnání, neboť </w:t>
      </w:r>
      <w:r w:rsidRPr="00B07D79">
        <w:rPr>
          <w:rFonts w:asciiTheme="minorHAnsi" w:hAnsiTheme="minorHAnsi" w:cs="Arial"/>
        </w:rPr>
        <w:t>poslední statisticky zpracovaný rok před pandemií Covid 19 – roky 2020 a 2021 nejsou z důvodu karanténních opatření směrodatné a rok 2022 ještě nebyl statisticky zpracován</w:t>
      </w:r>
    </w:p>
  </w:footnote>
  <w:footnote w:id="8">
    <w:p w14:paraId="719BD72B" w14:textId="77777777" w:rsidR="00BF0350" w:rsidRPr="00B07D79" w:rsidRDefault="00BF0350" w:rsidP="00BF0350">
      <w:pPr>
        <w:jc w:val="both"/>
        <w:rPr>
          <w:rFonts w:asciiTheme="minorHAnsi" w:hAnsiTheme="minorHAnsi" w:cs="Arial"/>
          <w:sz w:val="16"/>
          <w:szCs w:val="16"/>
        </w:rPr>
      </w:pPr>
      <w:r w:rsidRPr="00B07D79">
        <w:rPr>
          <w:rStyle w:val="Znakapoznpodarou"/>
          <w:rFonts w:asciiTheme="minorHAnsi" w:hAnsiTheme="minorHAnsi"/>
          <w:sz w:val="16"/>
          <w:szCs w:val="16"/>
        </w:rPr>
        <w:footnoteRef/>
      </w:r>
      <w:r w:rsidRPr="00B07D79">
        <w:rPr>
          <w:rFonts w:asciiTheme="minorHAnsi" w:hAnsiTheme="minorHAnsi"/>
          <w:sz w:val="16"/>
          <w:szCs w:val="16"/>
        </w:rPr>
        <w:t xml:space="preserve"> </w:t>
      </w:r>
      <w:r w:rsidRPr="00B07D79">
        <w:rPr>
          <w:rFonts w:asciiTheme="minorHAnsi" w:hAnsiTheme="minorHAnsi" w:cs="Arial"/>
          <w:sz w:val="16"/>
          <w:szCs w:val="16"/>
        </w:rPr>
        <w:t>(má cca 7,5krát nižší měrnou spotřebu energie (kWh/os km, respektive kWh/netto tkm)) - Kolejová doprava s elektrickou vozbou využívá 3krát energeticky méně náročný způsob dopravy a 2,5krát energeticky méně náročný pohonný systém. V součinu těchto hodnot dosahuje téměř 8krát vyšší energetickou účinnost, tedy jen cca 13 % spotřebu energie (úspora 87 %).</w:t>
      </w:r>
    </w:p>
    <w:p w14:paraId="029A760D" w14:textId="77777777" w:rsidR="00BF0350" w:rsidRDefault="00BF0350" w:rsidP="00BF0350">
      <w:pPr>
        <w:pStyle w:val="Textpoznpodarou"/>
      </w:pPr>
    </w:p>
  </w:footnote>
  <w:footnote w:id="9">
    <w:p w14:paraId="0DF55B0C" w14:textId="77777777" w:rsidR="00543428" w:rsidRPr="00B07D79" w:rsidRDefault="00543428" w:rsidP="00543428">
      <w:pPr>
        <w:pStyle w:val="Textpoznpodarou"/>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Průměrný automobil je v ČR využíván jen 37 minut denně, to je jen 2,6 % času, zbývajících 23 hodin a 23 minut je nečinný.</w:t>
      </w:r>
    </w:p>
  </w:footnote>
  <w:footnote w:id="10">
    <w:p w14:paraId="18B29EA6" w14:textId="77777777" w:rsidR="00543428" w:rsidRDefault="00543428" w:rsidP="00543428">
      <w:pPr>
        <w:pStyle w:val="Textpoznpodarou"/>
      </w:pPr>
      <w:r w:rsidRPr="00B07D79">
        <w:rPr>
          <w:rStyle w:val="Znakapoznpodarou"/>
          <w:rFonts w:asciiTheme="minorHAnsi" w:hAnsiTheme="minorHAnsi"/>
        </w:rPr>
        <w:footnoteRef/>
      </w:r>
      <w:r w:rsidRPr="00B07D79">
        <w:rPr>
          <w:rFonts w:asciiTheme="minorHAnsi" w:hAnsiTheme="minorHAnsi"/>
        </w:rPr>
        <w:t xml:space="preserve"> Z 5,748 mil. osobních automobilů registrovaných v ČR jich v průměru 5,652 mil. parkuje. Pozor, jde o hodnoty z roku 2018, podle Ročenky dopravy to bylo v roce 2021 v ČR 6,089 milionu registrovaných a 5,932 milionu průměrně parkujících osobních automobilů. </w:t>
      </w:r>
    </w:p>
  </w:footnote>
  <w:footnote w:id="11">
    <w:p w14:paraId="177CFE21" w14:textId="77777777" w:rsidR="00543428" w:rsidRPr="00B07D79" w:rsidRDefault="00543428" w:rsidP="00543428">
      <w:pPr>
        <w:pStyle w:val="Textpoznpodarou"/>
        <w:rPr>
          <w:rFonts w:asciiTheme="minorHAnsi" w:hAnsiTheme="minorHAnsi" w:cs="Arial"/>
        </w:rPr>
      </w:pPr>
      <w:r w:rsidRPr="00B07D79">
        <w:rPr>
          <w:rStyle w:val="Znakapoznpodarou"/>
          <w:rFonts w:asciiTheme="minorHAnsi" w:hAnsiTheme="minorHAnsi" w:cs="Arial"/>
        </w:rPr>
        <w:footnoteRef/>
      </w:r>
      <w:r w:rsidRPr="00B07D79">
        <w:rPr>
          <w:rFonts w:asciiTheme="minorHAnsi" w:hAnsiTheme="minorHAnsi" w:cs="Arial"/>
        </w:rPr>
        <w:t xml:space="preserve"> Kapacitní využití osobních automobilů v ČR je 1,3 osoby na 5 míst, tedy 26 % kapacity osobních automobilů</w:t>
      </w:r>
    </w:p>
  </w:footnote>
  <w:footnote w:id="12">
    <w:p w14:paraId="312DF7D4" w14:textId="1DB6B8D0" w:rsidR="00543428" w:rsidRPr="00B07D79" w:rsidRDefault="00543428" w:rsidP="00543428">
      <w:pPr>
        <w:pStyle w:val="Textpoznpodarou"/>
        <w:rPr>
          <w:rFonts w:asciiTheme="minorHAnsi" w:hAnsiTheme="minorHAnsi"/>
        </w:rPr>
      </w:pPr>
      <w:r w:rsidRPr="00B07D79">
        <w:rPr>
          <w:rStyle w:val="Znakapoznpodarou"/>
          <w:rFonts w:asciiTheme="minorHAnsi" w:hAnsiTheme="minorHAnsi" w:cs="Arial"/>
        </w:rPr>
        <w:footnoteRef/>
      </w:r>
      <w:r w:rsidRPr="00B07D79">
        <w:rPr>
          <w:rFonts w:asciiTheme="minorHAnsi" w:hAnsiTheme="minorHAnsi" w:cs="Arial"/>
        </w:rPr>
        <w:t xml:space="preserve"> Zpráva účetní dvora ze dne 27.3.2023 Nákladní doprava v EU: silnicím i nadále vládnou kamiony - podíl silniční nákladní dopravy v EU (přibližně 77 %) je stále na vzestupu; některá pravidla EU na podporu jiných druhů dopravy jsou zastaralá nebo kontraproduktivní; evropská síť infrastruktury není dosud náležitě přizpůsobena pro intramodální dopravu; </w:t>
      </w:r>
    </w:p>
  </w:footnote>
  <w:footnote w:id="13">
    <w:p w14:paraId="4B895090" w14:textId="77777777" w:rsidR="00543428" w:rsidRPr="00B07D79" w:rsidRDefault="00543428" w:rsidP="00543428">
      <w:pPr>
        <w:pStyle w:val="Textpoznpodarou"/>
        <w:rPr>
          <w:rFonts w:asciiTheme="minorHAnsi" w:hAnsiTheme="minorHAnsi" w:cs="Arial"/>
        </w:rPr>
      </w:pPr>
      <w:r w:rsidRPr="00B07D79">
        <w:rPr>
          <w:rStyle w:val="Znakapoznpodarou"/>
          <w:rFonts w:asciiTheme="minorHAnsi" w:hAnsiTheme="minorHAnsi" w:cs="Arial"/>
        </w:rPr>
        <w:footnoteRef/>
      </w:r>
      <w:r w:rsidRPr="00B07D79">
        <w:rPr>
          <w:rFonts w:asciiTheme="minorHAnsi" w:hAnsiTheme="minorHAnsi" w:cs="Arial"/>
        </w:rPr>
        <w:t xml:space="preserve"> Železniční síť v ČR je 9 523 km.</w:t>
      </w:r>
    </w:p>
  </w:footnote>
  <w:footnote w:id="14">
    <w:p w14:paraId="6DE48844" w14:textId="77777777" w:rsidR="00543428" w:rsidRDefault="00543428" w:rsidP="00543428">
      <w:pPr>
        <w:pStyle w:val="Textpoznpodarou"/>
      </w:pPr>
      <w:r w:rsidRPr="00B07D79">
        <w:rPr>
          <w:rStyle w:val="Znakapoznpodarou"/>
          <w:rFonts w:asciiTheme="minorHAnsi" w:hAnsiTheme="minorHAnsi" w:cs="Arial"/>
        </w:rPr>
        <w:footnoteRef/>
      </w:r>
      <w:r w:rsidRPr="00B07D79">
        <w:rPr>
          <w:rFonts w:asciiTheme="minorHAnsi" w:hAnsiTheme="minorHAnsi" w:cs="Arial"/>
        </w:rPr>
        <w:t xml:space="preserve"> Silniční doprava čítá v ČR rozsáhlou síť silnic 55 838 km a místních komunikací 74 919 km.</w:t>
      </w:r>
    </w:p>
  </w:footnote>
  <w:footnote w:id="15">
    <w:p w14:paraId="58993BCF" w14:textId="05DCD457" w:rsidR="00543428" w:rsidRPr="00B07D79" w:rsidRDefault="00543428" w:rsidP="00542F6F">
      <w:pPr>
        <w:jc w:val="both"/>
        <w:rPr>
          <w:rFonts w:asciiTheme="minorHAnsi" w:hAnsiTheme="minorHAnsi"/>
        </w:rPr>
      </w:pPr>
      <w:r w:rsidRPr="00B07D79">
        <w:rPr>
          <w:rStyle w:val="Znakapoznpodarou"/>
          <w:rFonts w:asciiTheme="minorHAnsi" w:hAnsiTheme="minorHAnsi" w:cs="Arial"/>
          <w:sz w:val="16"/>
          <w:szCs w:val="16"/>
        </w:rPr>
        <w:footnoteRef/>
      </w:r>
      <w:r w:rsidRPr="00B07D79">
        <w:rPr>
          <w:rFonts w:asciiTheme="minorHAnsi" w:hAnsiTheme="minorHAnsi" w:cs="Arial"/>
          <w:sz w:val="16"/>
          <w:szCs w:val="16"/>
        </w:rPr>
        <w:t xml:space="preserve"> Pochopitelně existují a jsou používány i podstatně komplexnější výpočty zahrnující údržbu, platbu za použití dopravní cesty, mzdy řidičů, diskontování a další položky.</w:t>
      </w:r>
    </w:p>
  </w:footnote>
  <w:footnote w:id="16">
    <w:p w14:paraId="099855AF" w14:textId="77777777" w:rsidR="00543428" w:rsidRPr="00542F6F" w:rsidRDefault="00543428" w:rsidP="00543428">
      <w:pPr>
        <w:jc w:val="both"/>
        <w:rPr>
          <w:rFonts w:cs="Arial"/>
          <w:sz w:val="16"/>
          <w:szCs w:val="16"/>
        </w:rPr>
      </w:pPr>
      <w:r>
        <w:rPr>
          <w:rStyle w:val="Znakapoznpodarou"/>
        </w:rPr>
        <w:footnoteRef/>
      </w:r>
      <w:r>
        <w:t xml:space="preserve"> </w:t>
      </w:r>
      <w:r w:rsidRPr="00542F6F">
        <w:rPr>
          <w:rFonts w:cs="Arial"/>
          <w:sz w:val="16"/>
          <w:szCs w:val="16"/>
        </w:rPr>
        <w:t xml:space="preserve">Celkové náklady jsou součtem obou těchto hodnot: </w:t>
      </w:r>
    </w:p>
    <w:p w14:paraId="341BDA1D" w14:textId="77777777" w:rsidR="00543428" w:rsidRPr="00542F6F" w:rsidRDefault="00543428" w:rsidP="00543428">
      <w:pPr>
        <w:jc w:val="both"/>
        <w:rPr>
          <w:rFonts w:cs="Arial"/>
          <w:sz w:val="16"/>
          <w:szCs w:val="16"/>
        </w:rPr>
      </w:pPr>
      <w:r w:rsidRPr="00542F6F">
        <w:rPr>
          <w:rFonts w:cs="Arial"/>
          <w:sz w:val="16"/>
          <w:szCs w:val="16"/>
        </w:rPr>
        <w:t>N</w:t>
      </w:r>
      <w:r w:rsidRPr="00542F6F">
        <w:rPr>
          <w:rFonts w:cs="Arial"/>
          <w:sz w:val="16"/>
          <w:szCs w:val="16"/>
          <w:vertAlign w:val="subscript"/>
        </w:rPr>
        <w:t>e</w:t>
      </w:r>
      <w:r w:rsidRPr="00542F6F">
        <w:rPr>
          <w:rFonts w:cs="Arial"/>
          <w:sz w:val="16"/>
          <w:szCs w:val="16"/>
        </w:rPr>
        <w:t xml:space="preserve"> = I</w:t>
      </w:r>
      <w:r w:rsidRPr="00542F6F">
        <w:rPr>
          <w:rFonts w:cs="Arial"/>
          <w:sz w:val="16"/>
          <w:szCs w:val="16"/>
          <w:vertAlign w:val="subscript"/>
        </w:rPr>
        <w:t>e</w:t>
      </w:r>
      <w:r w:rsidRPr="00542F6F">
        <w:rPr>
          <w:rFonts w:cs="Arial"/>
          <w:sz w:val="16"/>
          <w:szCs w:val="16"/>
        </w:rPr>
        <w:t xml:space="preserve"> + p</w:t>
      </w:r>
      <w:r w:rsidRPr="00542F6F">
        <w:rPr>
          <w:rFonts w:cs="Arial"/>
          <w:sz w:val="16"/>
          <w:szCs w:val="16"/>
          <w:vertAlign w:val="subscript"/>
        </w:rPr>
        <w:t>e</w:t>
      </w:r>
      <w:r w:rsidRPr="00542F6F">
        <w:rPr>
          <w:rFonts w:cs="Arial"/>
          <w:sz w:val="16"/>
          <w:szCs w:val="16"/>
        </w:rPr>
        <w:t xml:space="preserve"> . L </w:t>
      </w:r>
    </w:p>
    <w:p w14:paraId="2B8B6593" w14:textId="77777777" w:rsidR="00543428" w:rsidRPr="00542F6F" w:rsidRDefault="00543428" w:rsidP="00543428">
      <w:pPr>
        <w:jc w:val="both"/>
        <w:rPr>
          <w:rFonts w:cs="Arial"/>
          <w:sz w:val="16"/>
          <w:szCs w:val="16"/>
        </w:rPr>
      </w:pPr>
      <w:r w:rsidRPr="00542F6F">
        <w:rPr>
          <w:rFonts w:cs="Arial"/>
          <w:sz w:val="16"/>
          <w:szCs w:val="16"/>
        </w:rPr>
        <w:t>N</w:t>
      </w:r>
      <w:r w:rsidRPr="00542F6F">
        <w:rPr>
          <w:rFonts w:cs="Arial"/>
          <w:sz w:val="16"/>
          <w:szCs w:val="16"/>
          <w:vertAlign w:val="subscript"/>
        </w:rPr>
        <w:t>n</w:t>
      </w:r>
      <w:r w:rsidRPr="00542F6F">
        <w:rPr>
          <w:rFonts w:cs="Arial"/>
          <w:sz w:val="16"/>
          <w:szCs w:val="16"/>
        </w:rPr>
        <w:t xml:space="preserve"> = I</w:t>
      </w:r>
      <w:r w:rsidRPr="00542F6F">
        <w:rPr>
          <w:rFonts w:cs="Arial"/>
          <w:sz w:val="16"/>
          <w:szCs w:val="16"/>
          <w:vertAlign w:val="subscript"/>
        </w:rPr>
        <w:t>n</w:t>
      </w:r>
      <w:r w:rsidRPr="00542F6F">
        <w:rPr>
          <w:rFonts w:cs="Arial"/>
          <w:sz w:val="16"/>
          <w:szCs w:val="16"/>
        </w:rPr>
        <w:t xml:space="preserve"> + p</w:t>
      </w:r>
      <w:r w:rsidRPr="00542F6F">
        <w:rPr>
          <w:rFonts w:cs="Arial"/>
          <w:sz w:val="16"/>
          <w:szCs w:val="16"/>
          <w:vertAlign w:val="subscript"/>
        </w:rPr>
        <w:t>n</w:t>
      </w:r>
      <w:r w:rsidRPr="00542F6F">
        <w:rPr>
          <w:rFonts w:cs="Arial"/>
          <w:sz w:val="16"/>
          <w:szCs w:val="16"/>
        </w:rPr>
        <w:t xml:space="preserve"> . L </w:t>
      </w:r>
    </w:p>
    <w:p w14:paraId="1DC4867B" w14:textId="77777777" w:rsidR="00543428" w:rsidRPr="00542F6F" w:rsidRDefault="00543428" w:rsidP="00543428">
      <w:pPr>
        <w:jc w:val="both"/>
        <w:rPr>
          <w:rFonts w:cs="Arial"/>
          <w:sz w:val="16"/>
          <w:szCs w:val="16"/>
        </w:rPr>
      </w:pPr>
      <w:r w:rsidRPr="00542F6F">
        <w:rPr>
          <w:rFonts w:cs="Arial"/>
          <w:sz w:val="16"/>
          <w:szCs w:val="16"/>
        </w:rPr>
        <w:t>N</w:t>
      </w:r>
      <w:r w:rsidRPr="00542F6F">
        <w:rPr>
          <w:rFonts w:cs="Arial"/>
          <w:sz w:val="16"/>
          <w:szCs w:val="16"/>
          <w:vertAlign w:val="subscript"/>
        </w:rPr>
        <w:t>e</w:t>
      </w:r>
      <w:r w:rsidRPr="00542F6F">
        <w:rPr>
          <w:rFonts w:cs="Arial"/>
          <w:sz w:val="16"/>
          <w:szCs w:val="16"/>
        </w:rPr>
        <w:t xml:space="preserve"> &gt; N</w:t>
      </w:r>
      <w:r w:rsidRPr="00542F6F">
        <w:rPr>
          <w:rFonts w:cs="Arial"/>
          <w:sz w:val="16"/>
          <w:szCs w:val="16"/>
          <w:vertAlign w:val="subscript"/>
        </w:rPr>
        <w:t>n</w:t>
      </w:r>
      <w:r w:rsidRPr="00542F6F">
        <w:rPr>
          <w:rFonts w:cs="Arial"/>
          <w:sz w:val="16"/>
          <w:szCs w:val="16"/>
        </w:rPr>
        <w:t xml:space="preserve">  </w:t>
      </w:r>
    </w:p>
    <w:p w14:paraId="1767DA81" w14:textId="77777777" w:rsidR="00543428" w:rsidRPr="00542F6F" w:rsidRDefault="00543428" w:rsidP="00543428">
      <w:pPr>
        <w:jc w:val="both"/>
        <w:rPr>
          <w:rFonts w:cs="Arial"/>
          <w:sz w:val="16"/>
          <w:szCs w:val="16"/>
        </w:rPr>
      </w:pPr>
      <w:r w:rsidRPr="00542F6F">
        <w:rPr>
          <w:rFonts w:cs="Arial"/>
          <w:sz w:val="16"/>
          <w:szCs w:val="16"/>
        </w:rPr>
        <w:t>p</w:t>
      </w:r>
      <w:r w:rsidRPr="00542F6F">
        <w:rPr>
          <w:rFonts w:cs="Arial"/>
          <w:sz w:val="16"/>
          <w:szCs w:val="16"/>
          <w:vertAlign w:val="subscript"/>
        </w:rPr>
        <w:t>e</w:t>
      </w:r>
      <w:r w:rsidRPr="00542F6F">
        <w:rPr>
          <w:rFonts w:cs="Arial"/>
          <w:sz w:val="16"/>
          <w:szCs w:val="16"/>
        </w:rPr>
        <w:t xml:space="preserve"> &lt; p</w:t>
      </w:r>
      <w:r w:rsidRPr="00542F6F">
        <w:rPr>
          <w:rFonts w:cs="Arial"/>
          <w:sz w:val="16"/>
          <w:szCs w:val="16"/>
          <w:vertAlign w:val="subscript"/>
        </w:rPr>
        <w:t>n</w:t>
      </w:r>
      <w:r w:rsidRPr="00542F6F">
        <w:rPr>
          <w:rFonts w:cs="Arial"/>
          <w:sz w:val="16"/>
          <w:szCs w:val="16"/>
        </w:rPr>
        <w:t xml:space="preserve"> </w:t>
      </w:r>
    </w:p>
    <w:p w14:paraId="063634B9" w14:textId="77777777" w:rsidR="00543428" w:rsidRDefault="00543428" w:rsidP="00543428">
      <w:pPr>
        <w:pStyle w:val="Textpoznpodarou"/>
      </w:pPr>
    </w:p>
  </w:footnote>
  <w:footnote w:id="17">
    <w:p w14:paraId="689156F9" w14:textId="77777777" w:rsidR="00543428" w:rsidRDefault="00543428" w:rsidP="00543428">
      <w:pPr>
        <w:pStyle w:val="Textpoznpodarou"/>
      </w:pPr>
      <w:r>
        <w:rPr>
          <w:rStyle w:val="Znakapoznpodarou"/>
        </w:rPr>
        <w:footnoteRef/>
      </w:r>
      <w:r>
        <w:t xml:space="preserve"> </w:t>
      </w:r>
      <w:r>
        <w:rPr>
          <w:rFonts w:cs="Arial"/>
        </w:rPr>
        <w:t>Pochopitelně lze tuto úvahu provést důkladněji (viz výpočet vnitřního výnosového procenta IRR v analýze nákladů a výnosů CBA), ale princip je stejný. Jde však o velmi závažné poznání.</w:t>
      </w:r>
    </w:p>
  </w:footnote>
  <w:footnote w:id="18">
    <w:p w14:paraId="2AC29062" w14:textId="77777777" w:rsidR="00543428" w:rsidRPr="00B07D79" w:rsidRDefault="00543428" w:rsidP="00543428">
      <w:pPr>
        <w:jc w:val="both"/>
        <w:rPr>
          <w:rFonts w:asciiTheme="minorHAnsi" w:hAnsiTheme="minorHAnsi" w:cs="Arial"/>
          <w:sz w:val="16"/>
          <w:szCs w:val="16"/>
        </w:rPr>
      </w:pPr>
      <w:r w:rsidRPr="00B07D79">
        <w:rPr>
          <w:rStyle w:val="Znakapoznpodarou"/>
          <w:rFonts w:asciiTheme="minorHAnsi" w:hAnsiTheme="minorHAnsi"/>
          <w:sz w:val="16"/>
          <w:szCs w:val="16"/>
        </w:rPr>
        <w:footnoteRef/>
      </w:r>
      <w:r w:rsidRPr="00B07D79">
        <w:rPr>
          <w:rFonts w:asciiTheme="minorHAnsi" w:hAnsiTheme="minorHAnsi"/>
          <w:sz w:val="16"/>
          <w:szCs w:val="16"/>
        </w:rPr>
        <w:t xml:space="preserve"> </w:t>
      </w:r>
      <w:r w:rsidRPr="00B07D79">
        <w:rPr>
          <w:rFonts w:asciiTheme="minorHAnsi" w:hAnsiTheme="minorHAnsi" w:cs="Arial"/>
          <w:sz w:val="16"/>
          <w:szCs w:val="16"/>
        </w:rPr>
        <w:t>(2021: 9 523 km), která je navíc velmi nehomogenní:</w:t>
      </w:r>
    </w:p>
    <w:p w14:paraId="0529D819" w14:textId="77777777" w:rsidR="00543428" w:rsidRPr="00B07D79" w:rsidRDefault="00543428" w:rsidP="00543428">
      <w:pPr>
        <w:pStyle w:val="Odstavecseseznamem"/>
        <w:numPr>
          <w:ilvl w:val="0"/>
          <w:numId w:val="147"/>
        </w:numPr>
        <w:jc w:val="both"/>
        <w:rPr>
          <w:rFonts w:asciiTheme="minorHAnsi" w:hAnsiTheme="minorHAnsi" w:cs="Arial"/>
          <w:sz w:val="16"/>
          <w:szCs w:val="16"/>
        </w:rPr>
      </w:pPr>
      <w:r w:rsidRPr="00B07D79">
        <w:rPr>
          <w:rFonts w:asciiTheme="minorHAnsi" w:hAnsiTheme="minorHAnsi" w:cs="Arial"/>
          <w:sz w:val="16"/>
          <w:szCs w:val="16"/>
        </w:rPr>
        <w:t>18,1 % délky tratě celostátní sítě TEN-T, které zjišťují 70,7 % dopravních výkonů osobní železniční dopravy a 92 % dopravních výkonů nákladní železniční dopravy,</w:t>
      </w:r>
    </w:p>
    <w:p w14:paraId="354C2676" w14:textId="41491E14" w:rsidR="00543428" w:rsidRPr="00B07D79" w:rsidRDefault="00543428" w:rsidP="00542F6F">
      <w:pPr>
        <w:pStyle w:val="Odstavecseseznamem"/>
        <w:numPr>
          <w:ilvl w:val="0"/>
          <w:numId w:val="147"/>
        </w:numPr>
        <w:jc w:val="both"/>
        <w:rPr>
          <w:rFonts w:asciiTheme="minorHAnsi" w:hAnsiTheme="minorHAnsi"/>
        </w:rPr>
      </w:pPr>
      <w:r w:rsidRPr="00B07D79">
        <w:rPr>
          <w:rFonts w:asciiTheme="minorHAnsi" w:hAnsiTheme="minorHAnsi" w:cs="Arial"/>
          <w:sz w:val="16"/>
          <w:szCs w:val="16"/>
        </w:rPr>
        <w:t>23,7 % délky tratě ostatní celostátní, které zjišťují 21,1 % dopravních výkonů osobní železniční dopravy a 6,2 % dopravních výkonů nákladní železniční dopravy,</w:t>
      </w:r>
      <w:r w:rsidRPr="00B07D79">
        <w:rPr>
          <w:rFonts w:asciiTheme="minorHAnsi" w:hAnsiTheme="minorHAnsi"/>
          <w:sz w:val="16"/>
          <w:szCs w:val="16"/>
        </w:rPr>
        <w:t xml:space="preserve">45,5 % tratě regionální, které zjišťují 6,9 % dopravních výkonů osobní železniční dopravy a 1,3 % </w:t>
      </w:r>
      <w:r w:rsidRPr="00B07D79">
        <w:rPr>
          <w:rFonts w:asciiTheme="minorHAnsi" w:hAnsiTheme="minorHAnsi" w:cs="Arial"/>
          <w:sz w:val="16"/>
          <w:szCs w:val="16"/>
        </w:rPr>
        <w:t>dopravních výkonů nákladní železniční dopravy.</w:t>
      </w:r>
    </w:p>
  </w:footnote>
  <w:footnote w:id="19">
    <w:p w14:paraId="456C4A0B" w14:textId="77777777" w:rsidR="00543428" w:rsidRPr="00B07D79" w:rsidRDefault="00543428" w:rsidP="00543428">
      <w:pPr>
        <w:pStyle w:val="Textpoznpodarou"/>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w:t>
      </w:r>
      <w:r w:rsidRPr="00B07D79">
        <w:rPr>
          <w:rFonts w:asciiTheme="minorHAnsi" w:hAnsiTheme="minorHAnsi" w:cs="Arial"/>
        </w:rPr>
        <w:t>V průběhu pěti let 2014 až 2019 došlo na české železnici k nárůstu přepravních výkonů osobní železniční dopravy o 40 % z 7,8 mld. os km/rok na 10,9 mld. os km/rok, tedy o 3,1 mld. os km/rok. Toto navýšení nastalo převážně v dálkové dopravě v elektrické vozbě</w:t>
      </w:r>
    </w:p>
  </w:footnote>
  <w:footnote w:id="20">
    <w:p w14:paraId="66616548" w14:textId="77777777" w:rsidR="00543428" w:rsidRPr="00B07D79" w:rsidRDefault="00543428" w:rsidP="00543428">
      <w:pPr>
        <w:pStyle w:val="Textpoznpodarou"/>
        <w:rPr>
          <w:rFonts w:asciiTheme="minorHAnsi" w:hAnsiTheme="minorHAnsi"/>
        </w:rPr>
      </w:pPr>
      <w:r w:rsidRPr="00B07D79">
        <w:rPr>
          <w:rStyle w:val="Znakapoznpodarou"/>
          <w:rFonts w:asciiTheme="minorHAnsi" w:hAnsiTheme="minorHAnsi"/>
        </w:rPr>
        <w:footnoteRef/>
      </w:r>
      <w:r w:rsidRPr="00B07D79">
        <w:rPr>
          <w:rFonts w:asciiTheme="minorHAnsi" w:hAnsiTheme="minorHAnsi"/>
        </w:rPr>
        <w:t xml:space="preserve"> Neelektrizovaná trať </w:t>
      </w:r>
      <w:r w:rsidRPr="00B07D79">
        <w:rPr>
          <w:rFonts w:asciiTheme="minorHAnsi" w:hAnsiTheme="minorHAnsi" w:cs="Arial"/>
        </w:rPr>
        <w:t>střední denní dopravní tok nákladní dopravy v roce 2019: 694 hrt/den</w:t>
      </w:r>
    </w:p>
  </w:footnote>
  <w:footnote w:id="21">
    <w:p w14:paraId="41775A77" w14:textId="77777777" w:rsidR="00543428" w:rsidRDefault="00543428" w:rsidP="00543428">
      <w:pPr>
        <w:pStyle w:val="Textpoznpodarou"/>
      </w:pPr>
      <w:r w:rsidRPr="00B07D79">
        <w:rPr>
          <w:rStyle w:val="Znakapoznpodarou"/>
          <w:rFonts w:asciiTheme="minorHAnsi" w:hAnsiTheme="minorHAnsi"/>
        </w:rPr>
        <w:footnoteRef/>
      </w:r>
      <w:r w:rsidRPr="00B07D79">
        <w:rPr>
          <w:rFonts w:asciiTheme="minorHAnsi" w:hAnsiTheme="minorHAnsi"/>
        </w:rPr>
        <w:t xml:space="preserve"> Elektrizovaná trať </w:t>
      </w:r>
      <w:r w:rsidRPr="00B07D79">
        <w:rPr>
          <w:rFonts w:asciiTheme="minorHAnsi" w:hAnsiTheme="minorHAnsi" w:cs="Arial"/>
        </w:rPr>
        <w:t>střední denní dopravní tok nákladní dopravy v roce 2019: 28 093 hrt/den</w:t>
      </w:r>
    </w:p>
  </w:footnote>
  <w:footnote w:id="22">
    <w:p w14:paraId="1152A4CB" w14:textId="77777777" w:rsidR="002E476D" w:rsidRPr="00B07D79" w:rsidRDefault="002E476D" w:rsidP="002E476D">
      <w:pPr>
        <w:pStyle w:val="Textpoznpodarou"/>
        <w:rPr>
          <w:rFonts w:asciiTheme="minorHAnsi" w:hAnsiTheme="minorHAnsi"/>
          <w:lang w:val="en-GB"/>
        </w:rPr>
      </w:pPr>
      <w:r w:rsidRPr="00B07D79">
        <w:rPr>
          <w:rStyle w:val="Znakapoznpodarou"/>
          <w:rFonts w:asciiTheme="minorHAnsi" w:hAnsiTheme="minorHAnsi"/>
        </w:rPr>
        <w:footnoteRef/>
      </w:r>
      <w:r w:rsidRPr="00B07D79">
        <w:rPr>
          <w:rFonts w:asciiTheme="minorHAnsi" w:hAnsiTheme="minorHAnsi"/>
        </w:rPr>
        <w:t xml:space="preserve"> </w:t>
      </w:r>
      <w:r w:rsidRPr="00B07D79">
        <w:rPr>
          <w:rFonts w:asciiTheme="minorHAnsi" w:hAnsiTheme="minorHAnsi"/>
          <w:lang w:val="en-GB"/>
        </w:rPr>
        <w:t>Environmental, social, and governance</w:t>
      </w:r>
    </w:p>
  </w:footnote>
  <w:footnote w:id="23">
    <w:p w14:paraId="35B31E67" w14:textId="77777777" w:rsidR="00E95782" w:rsidRPr="005E2F84" w:rsidRDefault="00E95782" w:rsidP="00B2000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hAnsiTheme="minorHAnsi" w:cs="Helv"/>
          <w:iCs/>
          <w:color w:val="000000"/>
          <w:szCs w:val="16"/>
        </w:rPr>
      </w:pPr>
      <w:r w:rsidRPr="005E2F84">
        <w:rPr>
          <w:rStyle w:val="Znakapoznpodarou"/>
          <w:rFonts w:asciiTheme="minorHAnsi" w:hAnsiTheme="minorHAnsi"/>
          <w:sz w:val="16"/>
          <w:szCs w:val="16"/>
        </w:rPr>
        <w:footnoteRef/>
      </w:r>
      <w:r w:rsidRPr="005E2F84">
        <w:rPr>
          <w:rFonts w:asciiTheme="minorHAnsi" w:hAnsiTheme="minorHAnsi"/>
          <w:sz w:val="16"/>
          <w:szCs w:val="16"/>
        </w:rPr>
        <w:t xml:space="preserve"> </w:t>
      </w:r>
      <w:r w:rsidRPr="005E2F84">
        <w:rPr>
          <w:rFonts w:asciiTheme="minorHAnsi" w:hAnsiTheme="minorHAnsi" w:cs="Helv"/>
          <w:iCs/>
          <w:color w:val="000000"/>
          <w:sz w:val="16"/>
          <w:szCs w:val="16"/>
        </w:rPr>
        <w:t>Pro přepočet byla uvažována kapacita 450 sedadel pro dálkové, 240 pro regionální elektrické</w:t>
      </w:r>
      <w:r w:rsidR="00A7422C" w:rsidRPr="005E2F84">
        <w:rPr>
          <w:rFonts w:asciiTheme="minorHAnsi" w:hAnsiTheme="minorHAnsi" w:cs="Helv"/>
          <w:iCs/>
          <w:color w:val="000000"/>
          <w:sz w:val="16"/>
          <w:szCs w:val="16"/>
        </w:rPr>
        <w:t xml:space="preserve"> </w:t>
      </w:r>
      <w:r w:rsidRPr="005E2F84">
        <w:rPr>
          <w:rFonts w:asciiTheme="minorHAnsi" w:hAnsiTheme="minorHAnsi" w:cs="Helv"/>
          <w:iCs/>
          <w:color w:val="000000"/>
          <w:sz w:val="16"/>
          <w:szCs w:val="16"/>
        </w:rPr>
        <w:t>a 120 pro regionální dieselové vlaky (jednotky), která dobře vystihuje obecný stav na české</w:t>
      </w:r>
      <w:r w:rsidR="00A7422C" w:rsidRPr="005E2F84">
        <w:rPr>
          <w:rFonts w:asciiTheme="minorHAnsi" w:hAnsiTheme="minorHAnsi" w:cs="Helv"/>
          <w:iCs/>
          <w:color w:val="000000"/>
          <w:sz w:val="16"/>
          <w:szCs w:val="16"/>
        </w:rPr>
        <w:t xml:space="preserve"> </w:t>
      </w:r>
      <w:r w:rsidRPr="005E2F84">
        <w:rPr>
          <w:rFonts w:asciiTheme="minorHAnsi" w:hAnsiTheme="minorHAnsi" w:cs="Helv"/>
          <w:iCs/>
          <w:color w:val="000000"/>
          <w:sz w:val="16"/>
          <w:szCs w:val="16"/>
        </w:rPr>
        <w:t>železniční síti a nejrozšířenější využívání typových vozidel a jednotek podle trakce.</w:t>
      </w:r>
    </w:p>
  </w:footnote>
  <w:footnote w:id="24">
    <w:p w14:paraId="3BFBDF7E" w14:textId="77777777" w:rsidR="00A7422C" w:rsidRPr="005E2F84" w:rsidRDefault="00A7422C" w:rsidP="00B20001">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hAnsiTheme="minorHAnsi" w:cs="Helv"/>
          <w:i/>
          <w:iCs/>
          <w:color w:val="000000"/>
          <w:szCs w:val="16"/>
        </w:rPr>
      </w:pPr>
      <w:r w:rsidRPr="005E2F84">
        <w:rPr>
          <w:rStyle w:val="Znakapoznpodarou"/>
          <w:rFonts w:asciiTheme="minorHAnsi" w:hAnsiTheme="minorHAnsi"/>
          <w:sz w:val="16"/>
          <w:szCs w:val="16"/>
        </w:rPr>
        <w:footnoteRef/>
      </w:r>
      <w:r w:rsidRPr="005E2F84">
        <w:rPr>
          <w:rFonts w:asciiTheme="minorHAnsi" w:hAnsiTheme="minorHAnsi"/>
          <w:sz w:val="16"/>
          <w:szCs w:val="16"/>
        </w:rPr>
        <w:t xml:space="preserve"> </w:t>
      </w:r>
      <w:r w:rsidRPr="005E2F84">
        <w:rPr>
          <w:rFonts w:asciiTheme="minorHAnsi" w:hAnsiTheme="minorHAnsi" w:cs="Helv"/>
          <w:iCs/>
          <w:color w:val="000000"/>
          <w:sz w:val="16"/>
          <w:szCs w:val="16"/>
        </w:rPr>
        <w:t>Pro průměrný nákladní vlak bylo uvažováno ložení 516 t (zahrnuje vyvážený mix různých typů vlaků). Ve specifických případech, kdy je předpokládané ložení výrazně odlišné od uvedeného, je vhodné provést individuální přepočet emisního faktoru se zohledněním reálného ložení.</w:t>
      </w:r>
    </w:p>
  </w:footnote>
  <w:footnote w:id="25">
    <w:p w14:paraId="6BFD0CEC" w14:textId="44D49663" w:rsidR="009819B7" w:rsidRPr="009D0E24" w:rsidRDefault="009819B7">
      <w:pPr>
        <w:pStyle w:val="Textpoznpodarou"/>
        <w:rPr>
          <w:rFonts w:asciiTheme="minorHAnsi" w:hAnsiTheme="minorHAnsi" w:cstheme="minorHAnsi"/>
          <w:sz w:val="20"/>
        </w:rPr>
      </w:pPr>
      <w:r w:rsidRPr="009D0E24">
        <w:rPr>
          <w:rStyle w:val="Znakapoznpodarou"/>
          <w:rFonts w:asciiTheme="minorHAnsi" w:hAnsiTheme="minorHAnsi"/>
        </w:rPr>
        <w:footnoteRef/>
      </w:r>
      <w:r w:rsidRPr="009D0E24">
        <w:rPr>
          <w:rFonts w:asciiTheme="minorHAnsi" w:hAnsiTheme="minorHAnsi"/>
        </w:rPr>
        <w:t xml:space="preserve"> </w:t>
      </w:r>
      <w:r w:rsidR="00842BDC" w:rsidRPr="009D0E24">
        <w:rPr>
          <w:rFonts w:asciiTheme="minorHAnsi" w:hAnsiTheme="minorHAnsi" w:cs="Arial"/>
          <w:szCs w:val="16"/>
        </w:rPr>
        <w:t xml:space="preserve">Viz zejména projekt TA ČR </w:t>
      </w:r>
      <w:r w:rsidR="00922177" w:rsidRPr="009D0E24">
        <w:rPr>
          <w:rFonts w:asciiTheme="minorHAnsi" w:hAnsiTheme="minorHAnsi" w:cs="Arial"/>
          <w:szCs w:val="16"/>
        </w:rPr>
        <w:t>„</w:t>
      </w:r>
      <w:r w:rsidR="00025E3E" w:rsidRPr="009D0E24">
        <w:rPr>
          <w:rFonts w:asciiTheme="minorHAnsi" w:hAnsiTheme="minorHAnsi" w:cs="Arial"/>
          <w:szCs w:val="16"/>
        </w:rPr>
        <w:t>Č</w:t>
      </w:r>
      <w:r w:rsidR="001918B3" w:rsidRPr="009D0E24">
        <w:rPr>
          <w:rFonts w:asciiTheme="minorHAnsi" w:hAnsiTheme="minorHAnsi" w:cs="Arial"/>
          <w:szCs w:val="16"/>
        </w:rPr>
        <w:t xml:space="preserve">istá mobilita a její perspektivy </w:t>
      </w:r>
      <w:r w:rsidR="00842BDC" w:rsidRPr="009D0E24">
        <w:rPr>
          <w:rFonts w:asciiTheme="minorHAnsi" w:hAnsiTheme="minorHAnsi" w:cs="Arial"/>
          <w:szCs w:val="16"/>
        </w:rPr>
        <w:t>v nákladní silniční dopravě</w:t>
      </w:r>
      <w:r w:rsidR="00922177" w:rsidRPr="009D0E24">
        <w:rPr>
          <w:rFonts w:asciiTheme="minorHAnsi" w:hAnsiTheme="minorHAnsi" w:cs="Arial"/>
          <w:szCs w:val="16"/>
        </w:rPr>
        <w:t>“</w:t>
      </w:r>
      <w:r w:rsidR="00025E3E" w:rsidRPr="009D0E24">
        <w:rPr>
          <w:rFonts w:asciiTheme="minorHAnsi" w:hAnsiTheme="minorHAnsi" w:cs="Arial"/>
          <w:szCs w:val="16"/>
        </w:rPr>
        <w:t xml:space="preserve">, </w:t>
      </w:r>
      <w:r w:rsidR="00842BDC" w:rsidRPr="009D0E24">
        <w:rPr>
          <w:rFonts w:asciiTheme="minorHAnsi" w:hAnsiTheme="minorHAnsi" w:cs="Arial"/>
          <w:color w:val="26282A"/>
          <w:szCs w:val="16"/>
        </w:rPr>
        <w:t>TK02010106</w:t>
      </w:r>
      <w:r w:rsidR="009C7CE4" w:rsidRPr="009D0E24">
        <w:rPr>
          <w:rFonts w:asciiTheme="minorHAnsi" w:hAnsiTheme="minorHAnsi" w:cs="Arial"/>
          <w:color w:val="26282A"/>
          <w:szCs w:val="16"/>
        </w:rPr>
        <w:t xml:space="preserve"> </w:t>
      </w:r>
      <w:r w:rsidR="005C6C40" w:rsidRPr="009D0E24">
        <w:rPr>
          <w:rFonts w:asciiTheme="minorHAnsi" w:hAnsiTheme="minorHAnsi" w:cs="Arial"/>
          <w:color w:val="26282A"/>
          <w:szCs w:val="16"/>
        </w:rPr>
        <w:t>a</w:t>
      </w:r>
      <w:r w:rsidR="00067C48" w:rsidRPr="009D0E24">
        <w:rPr>
          <w:rFonts w:asciiTheme="minorHAnsi" w:hAnsiTheme="minorHAnsi" w:cs="Arial"/>
          <w:color w:val="26282A"/>
          <w:szCs w:val="16"/>
        </w:rPr>
        <w:t xml:space="preserve"> </w:t>
      </w:r>
      <w:r w:rsidR="00E46C57" w:rsidRPr="009D0E24">
        <w:rPr>
          <w:rFonts w:asciiTheme="minorHAnsi" w:hAnsiTheme="minorHAnsi" w:cs="Arial"/>
          <w:color w:val="26282A"/>
          <w:szCs w:val="16"/>
        </w:rPr>
        <w:t>dále studie</w:t>
      </w:r>
      <w:r w:rsidR="00E736B7" w:rsidRPr="009D0E24">
        <w:rPr>
          <w:rFonts w:asciiTheme="minorHAnsi" w:hAnsiTheme="minorHAnsi" w:cs="Arial"/>
          <w:color w:val="26282A"/>
          <w:szCs w:val="16"/>
        </w:rPr>
        <w:t xml:space="preserve"> </w:t>
      </w:r>
      <w:r w:rsidR="00922177" w:rsidRPr="009D0E24">
        <w:rPr>
          <w:rFonts w:asciiTheme="minorHAnsi" w:hAnsiTheme="minorHAnsi" w:cs="Arial"/>
          <w:color w:val="26282A"/>
          <w:szCs w:val="16"/>
        </w:rPr>
        <w:t>Leef Technol</w:t>
      </w:r>
      <w:r w:rsidR="00975E7B" w:rsidRPr="009D0E24">
        <w:rPr>
          <w:rFonts w:asciiTheme="minorHAnsi" w:hAnsiTheme="minorHAnsi" w:cs="Arial"/>
          <w:color w:val="26282A"/>
          <w:szCs w:val="16"/>
        </w:rPr>
        <w:t>o</w:t>
      </w:r>
      <w:r w:rsidR="00922177" w:rsidRPr="009D0E24">
        <w:rPr>
          <w:rFonts w:asciiTheme="minorHAnsi" w:hAnsiTheme="minorHAnsi" w:cs="Arial"/>
          <w:color w:val="26282A"/>
          <w:szCs w:val="16"/>
        </w:rPr>
        <w:t>gies</w:t>
      </w:r>
      <w:r w:rsidR="00975E7B" w:rsidRPr="009D0E24">
        <w:rPr>
          <w:rFonts w:asciiTheme="minorHAnsi" w:hAnsiTheme="minorHAnsi" w:cs="Arial"/>
          <w:color w:val="26282A"/>
          <w:szCs w:val="16"/>
        </w:rPr>
        <w:t xml:space="preserve">: </w:t>
      </w:r>
      <w:r w:rsidR="00922177" w:rsidRPr="009D0E24">
        <w:rPr>
          <w:rFonts w:asciiTheme="minorHAnsi" w:hAnsiTheme="minorHAnsi" w:cs="Arial"/>
          <w:color w:val="26282A"/>
          <w:szCs w:val="16"/>
        </w:rPr>
        <w:t>„</w:t>
      </w:r>
      <w:r w:rsidR="00436E6F" w:rsidRPr="009D0E24">
        <w:rPr>
          <w:rFonts w:asciiTheme="minorHAnsi" w:hAnsiTheme="minorHAnsi" w:cs="Arial"/>
          <w:szCs w:val="16"/>
        </w:rPr>
        <w:t>Elektrifikace těžkých nákladních vozidel v</w:t>
      </w:r>
      <w:r w:rsidR="005C6C40" w:rsidRPr="009D0E24">
        <w:rPr>
          <w:rFonts w:asciiTheme="minorHAnsi" w:hAnsiTheme="minorHAnsi" w:cs="Arial"/>
          <w:szCs w:val="16"/>
        </w:rPr>
        <w:t> </w:t>
      </w:r>
      <w:r w:rsidR="00922177" w:rsidRPr="009D0E24">
        <w:rPr>
          <w:rFonts w:asciiTheme="minorHAnsi" w:hAnsiTheme="minorHAnsi" w:cs="Arial"/>
          <w:szCs w:val="16"/>
        </w:rPr>
        <w:t>České republice“</w:t>
      </w:r>
      <w:r w:rsidR="000A5D94" w:rsidRPr="009D0E24">
        <w:rPr>
          <w:rFonts w:asciiTheme="minorHAnsi" w:hAnsiTheme="minorHAnsi" w:cs="Arial"/>
          <w:szCs w:val="16"/>
        </w:rPr>
        <w:t xml:space="preserve">, </w:t>
      </w:r>
      <w:r w:rsidR="00975E7B" w:rsidRPr="009D0E24">
        <w:rPr>
          <w:rFonts w:asciiTheme="minorHAnsi" w:hAnsiTheme="minorHAnsi" w:cs="Arial"/>
          <w:szCs w:val="16"/>
        </w:rPr>
        <w:t>základní</w:t>
      </w:r>
      <w:r w:rsidR="009763BF" w:rsidRPr="009D0E24">
        <w:rPr>
          <w:rFonts w:asciiTheme="minorHAnsi" w:hAnsiTheme="minorHAnsi" w:cs="Arial"/>
          <w:szCs w:val="16"/>
        </w:rPr>
        <w:t xml:space="preserve"> projekce a kolik to bude stát a co se děje v</w:t>
      </w:r>
      <w:r w:rsidR="00975E7B" w:rsidRPr="009D0E24">
        <w:rPr>
          <w:rFonts w:asciiTheme="minorHAnsi" w:hAnsiTheme="minorHAnsi" w:cs="Arial"/>
          <w:szCs w:val="16"/>
        </w:rPr>
        <w:t xml:space="preserve"> sousedních </w:t>
      </w:r>
      <w:r w:rsidR="009763BF" w:rsidRPr="009D0E24">
        <w:rPr>
          <w:rFonts w:asciiTheme="minorHAnsi" w:hAnsiTheme="minorHAnsi" w:cs="Arial"/>
          <w:szCs w:val="16"/>
        </w:rPr>
        <w:t xml:space="preserve">státech </w:t>
      </w:r>
      <w:r w:rsidR="00975E7B" w:rsidRPr="009D0E24">
        <w:rPr>
          <w:rFonts w:asciiTheme="minorHAnsi" w:hAnsiTheme="minorHAnsi" w:cs="Arial"/>
          <w:szCs w:val="16"/>
        </w:rPr>
        <w:t>(</w:t>
      </w:r>
      <w:r w:rsidR="00067C48" w:rsidRPr="009D0E24">
        <w:rPr>
          <w:rFonts w:asciiTheme="minorHAnsi" w:hAnsiTheme="minorHAnsi" w:cs="Arial"/>
          <w:szCs w:val="16"/>
        </w:rPr>
        <w:t>6/2023, 12/2023)</w:t>
      </w:r>
      <w:r w:rsidR="005C6C40" w:rsidRPr="009D0E24">
        <w:rPr>
          <w:rFonts w:asciiTheme="minorHAnsi" w:hAnsiTheme="minorHAnsi" w:cs="Calibr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544A" w14:textId="33290482" w:rsidR="00407426" w:rsidRDefault="003C103E" w:rsidP="00125198">
    <w:r>
      <w:rPr>
        <w:noProof/>
      </w:rPr>
      <w:drawing>
        <wp:anchor distT="0" distB="0" distL="114300" distR="114300" simplePos="0" relativeHeight="251690496" behindDoc="0" locked="0" layoutInCell="1" allowOverlap="1" wp14:anchorId="3CCFE37E" wp14:editId="0EBB88DE">
          <wp:simplePos x="0" y="0"/>
          <wp:positionH relativeFrom="margin">
            <wp:posOffset>4995545</wp:posOffset>
          </wp:positionH>
          <wp:positionV relativeFrom="page">
            <wp:posOffset>283058</wp:posOffset>
          </wp:positionV>
          <wp:extent cx="1440000" cy="911020"/>
          <wp:effectExtent l="0" t="0" r="8255" b="0"/>
          <wp:wrapNone/>
          <wp:docPr id="622897468" name="Obrázek 62289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11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1E0974E3" wp14:editId="5AFAE51A">
          <wp:simplePos x="0" y="0"/>
          <wp:positionH relativeFrom="margin">
            <wp:align>center</wp:align>
          </wp:positionH>
          <wp:positionV relativeFrom="paragraph">
            <wp:posOffset>27229</wp:posOffset>
          </wp:positionV>
          <wp:extent cx="1440000" cy="506707"/>
          <wp:effectExtent l="0" t="0" r="0" b="0"/>
          <wp:wrapNone/>
          <wp:docPr id="1084872194" name="Obrázek 108487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4700" name="Obrázek 21"/>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5067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3EB12B93" wp14:editId="77E977CA">
          <wp:simplePos x="0" y="0"/>
          <wp:positionH relativeFrom="page">
            <wp:posOffset>394665</wp:posOffset>
          </wp:positionH>
          <wp:positionV relativeFrom="paragraph">
            <wp:posOffset>-291897</wp:posOffset>
          </wp:positionV>
          <wp:extent cx="1440000" cy="906396"/>
          <wp:effectExtent l="0" t="0" r="0" b="0"/>
          <wp:wrapNone/>
          <wp:docPr id="802499949" name="Obrázek 80249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0000" cy="906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B9B1" w14:textId="3BA3A34C" w:rsidR="00BC0572" w:rsidRDefault="004A18F5">
    <w:pPr>
      <w:pStyle w:val="Zhlav"/>
    </w:pPr>
    <w:r>
      <w:rPr>
        <w:noProof/>
      </w:rPr>
      <w:pict w14:anchorId="0618C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0;margin-top:0;width:456.8pt;height:182.7pt;rotation:315;z-index:-251623936;mso-position-horizontal:center;mso-position-horizontal-relative:margin;mso-position-vertical:center;mso-position-vertical-relative:margin" o:allowincell="f" fillcolor="#747070"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1322" w14:textId="0FBC66BD" w:rsidR="00BC0572" w:rsidRDefault="004A18F5">
    <w:pPr>
      <w:pStyle w:val="Zhlav"/>
    </w:pPr>
    <w:r>
      <w:rPr>
        <w:noProof/>
      </w:rPr>
      <w:pict w14:anchorId="4311A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0;margin-top:0;width:456.8pt;height:182.7pt;rotation:315;z-index:-251621888;mso-position-horizontal:center;mso-position-horizontal-relative:margin;mso-position-vertical:center;mso-position-vertical-relative:margin" o:allowincell="f" fillcolor="#747070"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6B49" w14:textId="7BC17B35" w:rsidR="00EE4D41" w:rsidRDefault="00E64B42">
    <w:pPr>
      <w:pStyle w:val="Zhlav"/>
    </w:pPr>
    <w:r>
      <w:rPr>
        <w:noProof/>
      </w:rPr>
      <mc:AlternateContent>
        <mc:Choice Requires="wps">
          <w:drawing>
            <wp:anchor distT="0" distB="0" distL="114300" distR="114300" simplePos="0" relativeHeight="251696640" behindDoc="1" locked="0" layoutInCell="0" allowOverlap="1" wp14:anchorId="6AB8C6FC" wp14:editId="4DB692CE">
              <wp:simplePos x="0" y="0"/>
              <wp:positionH relativeFrom="margin">
                <wp:align>center</wp:align>
              </wp:positionH>
              <wp:positionV relativeFrom="margin">
                <wp:align>center</wp:align>
              </wp:positionV>
              <wp:extent cx="5801360" cy="2320290"/>
              <wp:effectExtent l="0" t="1571625" r="0" b="1270635"/>
              <wp:wrapNone/>
              <wp:docPr id="649629566" name="Textové pole 649629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4E834B" w14:textId="77777777" w:rsidR="00E64B42" w:rsidRDefault="00E64B42" w:rsidP="00BC0572">
                          <w:pPr>
                            <w:pStyle w:val="Normlnweb"/>
                            <w:spacing w:before="0" w:beforeAutospacing="0" w:after="0" w:afterAutospacing="0"/>
                            <w:jc w:val="center"/>
                          </w:pPr>
                          <w:r>
                            <w:rPr>
                              <w:rFonts w:ascii="Arial" w:hAnsi="Arial" w:cs="Arial"/>
                              <w:color w:val="767171" w:themeColor="background2" w:themeShade="80"/>
                              <w:sz w:val="2"/>
                              <w:szCs w:val="2"/>
                              <w14:textFill>
                                <w14:solidFill>
                                  <w14:schemeClr w14:val="bg2">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B8C6FC" id="_x0000_t202" coordsize="21600,21600" o:spt="202" path="m,l,21600r21600,l21600,xe">
              <v:stroke joinstyle="miter"/>
              <v:path gradientshapeok="t" o:connecttype="rect"/>
            </v:shapetype>
            <v:shape id="Textové pole 649629566" o:spid="_x0000_s1027" type="#_x0000_t202" style="position:absolute;margin-left:0;margin-top:0;width:456.8pt;height:182.7pt;rotation:-45;z-index:-25161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DnFgIAAP8DAAAOAAAAZHJzL2Uyb0RvYy54bWysU0Fu2zAQvBfoHwjea8lKLdiC5cBNml7S&#10;NkBc5EyTlKVW5LIkLclP6jvysS4pxQ7aW1EdCGmXOzuzO1pfD6olnbSuAV3S+SylRGoOotGHkn7b&#10;3b1bUuI804K1oGVJT9LR683bN+veFDKDGlohLUEQ7YrelLT23hRJ4ngtFXMzMFJjsgKrmMdPe0iE&#10;ZT2iqzbJ0jRPerDCWODSOYzejkm6ifhVJbn/WlVOetKWFLn5eNp47sOZbNasOFhm6oZPNNg/sFCs&#10;0dj0DHXLPCNH2/wFpRpuwUHlZxxUAlXVcBk1oJp5+oeax5oZGbXgcJw5j8n9P1j+pXuwpBElzd+v&#10;8my1yHNKNFO4qp0cPHTPv4iBVpJLGkfWG1dg5aPBWj98gAFXH+U7cw/8hyMabmqmD3JrLfS1ZAIp&#10;zxF4Ckdhu5PBLjEaWn0UDW5nHjaSvMIfm7nQad9/BoEl7Oghdhsqq4iFULZcpeGJYZwqQUa47tN5&#10;xdiAcAwulun8KscUx1x2laXZKpogYUVACys01vlPEhQJLyW16KEIy7p75wO7y5WJamA38vTDfpjm&#10;swdxQtI9equk7ueRWYkDOKobQCui6sqCekLzbm2U/dJ5Nzwxa6beHmk/tC/eigSiycS0Iia+I5Bq&#10;0bIda8kijmCkOF2eyI6oodaZLY7vrolKwpxHnpMSdFkUOP0Rwcavv+Oty3+7+Q0AAP//AwBQSwME&#10;FAAGAAgAAAAhAP4VF6PbAAAABQEAAA8AAABkcnMvZG93bnJldi54bWxMj8FOwzAQRO9I/IO1SNyo&#10;UwIRhGwqRMShx7aIsxtvk4C9DrHTpHw9hku5rDSa0czbYjVbI440+M4xwnKRgCCune64QXjbvd48&#10;gPBBsVbGMSGcyMOqvLwoVK7dxBs6bkMjYgn7XCG0IfS5lL5uySq/cD1x9A5usCpEOTRSD2qK5dbI&#10;2yTJpFUdx4VW9fTSUv25HS2C/j6c+nSaduv1phq/TFdV9P6BeH01Pz+BCDSHcxh+8SM6lJFp70bW&#10;XhiE+Ej4u9F7XKYZiD1Cmt3fgSwL+Z++/AEAAP//AwBQSwECLQAUAAYACAAAACEAtoM4kv4AAADh&#10;AQAAEwAAAAAAAAAAAAAAAAAAAAAAW0NvbnRlbnRfVHlwZXNdLnhtbFBLAQItABQABgAIAAAAIQA4&#10;/SH/1gAAAJQBAAALAAAAAAAAAAAAAAAAAC8BAABfcmVscy8ucmVsc1BLAQItABQABgAIAAAAIQAI&#10;2YDnFgIAAP8DAAAOAAAAAAAAAAAAAAAAAC4CAABkcnMvZTJvRG9jLnhtbFBLAQItABQABgAIAAAA&#10;IQD+FRej2wAAAAUBAAAPAAAAAAAAAAAAAAAAAHAEAABkcnMvZG93bnJldi54bWxQSwUGAAAAAAQA&#10;BADzAAAAeAUAAAAA&#10;" o:allowincell="f" filled="f" stroked="f">
              <v:stroke joinstyle="round"/>
              <o:lock v:ext="edit" shapetype="t"/>
              <v:textbox style="mso-fit-shape-to-text:t">
                <w:txbxContent>
                  <w:p w14:paraId="144E834B" w14:textId="77777777" w:rsidR="00E64B42" w:rsidRDefault="00E64B42" w:rsidP="00BC0572">
                    <w:pPr>
                      <w:pStyle w:val="Normlnweb"/>
                      <w:spacing w:before="0" w:beforeAutospacing="0" w:after="0" w:afterAutospacing="0"/>
                      <w:jc w:val="center"/>
                    </w:pPr>
                    <w:r>
                      <w:rPr>
                        <w:rFonts w:ascii="Arial" w:hAnsi="Arial" w:cs="Arial"/>
                        <w:color w:val="767171" w:themeColor="background2" w:themeShade="80"/>
                        <w:sz w:val="2"/>
                        <w:szCs w:val="2"/>
                        <w14:textFill>
                          <w14:solidFill>
                            <w14:schemeClr w14:val="bg2">
                              <w14:alpha w14:val="50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4DF4" w14:textId="7E4D535E" w:rsidR="00EE4D41" w:rsidRDefault="00E64B42">
    <w:pPr>
      <w:pStyle w:val="Zhlav"/>
    </w:pPr>
    <w:r>
      <w:rPr>
        <w:noProof/>
      </w:rPr>
      <mc:AlternateContent>
        <mc:Choice Requires="wps">
          <w:drawing>
            <wp:anchor distT="0" distB="0" distL="114300" distR="114300" simplePos="0" relativeHeight="251698688" behindDoc="1" locked="0" layoutInCell="0" allowOverlap="1" wp14:anchorId="3D8D9365" wp14:editId="7B5C6447">
              <wp:simplePos x="0" y="0"/>
              <wp:positionH relativeFrom="margin">
                <wp:align>center</wp:align>
              </wp:positionH>
              <wp:positionV relativeFrom="margin">
                <wp:align>center</wp:align>
              </wp:positionV>
              <wp:extent cx="5801360" cy="2320290"/>
              <wp:effectExtent l="0" t="1571625" r="0" b="1270635"/>
              <wp:wrapNone/>
              <wp:docPr id="1080650031" name="Textové pole 1080650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2320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2807C8" w14:textId="77777777" w:rsidR="00E64B42" w:rsidRDefault="00E64B42" w:rsidP="00BC0572">
                          <w:pPr>
                            <w:pStyle w:val="Normlnweb"/>
                            <w:spacing w:before="0" w:beforeAutospacing="0" w:after="0" w:afterAutospacing="0"/>
                            <w:jc w:val="center"/>
                          </w:pPr>
                          <w:r>
                            <w:rPr>
                              <w:rFonts w:ascii="Arial" w:hAnsi="Arial" w:cs="Arial"/>
                              <w:color w:val="767171" w:themeColor="background2" w:themeShade="80"/>
                              <w:sz w:val="2"/>
                              <w:szCs w:val="2"/>
                              <w14:textFill>
                                <w14:solidFill>
                                  <w14:schemeClr w14:val="bg2">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8D9365" id="_x0000_t202" coordsize="21600,21600" o:spt="202" path="m,l,21600r21600,l21600,xe">
              <v:stroke joinstyle="miter"/>
              <v:path gradientshapeok="t" o:connecttype="rect"/>
            </v:shapetype>
            <v:shape id="Textové pole 1080650031" o:spid="_x0000_s1028" type="#_x0000_t202" style="position:absolute;margin-left:0;margin-top:0;width:456.8pt;height:182.7pt;rotation:-45;z-index:-25161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XEGAIAAAgEAAAOAAAAZHJzL2Uyb0RvYy54bWysU8Fu2zAMvQ/YPwi6L1YStEiNOEXWrrt0&#10;W4Fm6JmR5NibZWqSEjuftO/Yj42S3STYbsN8EGxSfHyPfF7e9qZhB+18jW3BpxPBmW4lqrrdFfzr&#10;5uHdgjMfoFXQYKsLftSe367evll2NtczrLBR2jECaX3e2YJXIdg8y7ystAE/QatbSpboDAT6dLtM&#10;OegI3TTZTIjrrEOnrEOpvafo/ZDkq4RfllqGL2XpdWBNwYlbSKdL5zae2WoJ+c6BrWo50oB/YGGg&#10;bqnpCeoeArC9q/+CMrV06LEME4kmw7KspU4aSM1U/KHmuQKrkxYajrenMfn/Bys/H54cqxXtTizE&#10;9ZUQ8ylnLRja1Ub3AQ+/fjKLjWYXeRpaZ31Otc+WqkP/HnsCSAPw9hHld89avKug3em1c9hVGhSR&#10;jshjOEnbHC21SdHY64OqaT/TuJPsAn9o5mOnbfcJFZXAPmDq1pfOMIexbHEj4pPCNFdGjGjhx9OS&#10;qQGTFLxaiOn8mlKScrP5TMxukg0yyCNaXKJ1PnzUaFh8KbgjFyVYODz6ENmdr4xUI7uBZ+i3/TDP&#10;qCPK2KI6EveOTFZw/2MPTtMc9uYOyZMkvnRoXsjFa5fUvxLY9C/g7EghEPun5tVkiUdymxpXBeob&#10;AZmGvHuAhtEaaRID0/HyyHlAjbXermmKD3USdOY5CiK7JZ3jrxH9fPmdbp1/4NVvAAAA//8DAFBL&#10;AwQUAAYACAAAACEA/hUXo9sAAAAFAQAADwAAAGRycy9kb3ducmV2LnhtbEyPwU7DMBBE70j8g7VI&#10;3KhTAhGEbCpExKHHtoizG2+TgL0OsdOkfD2GS7msNJrRzNtiNVsjjjT4zjHCcpGAIK6d7rhBeNu9&#10;3jyA8EGxVsYxIZzIw6q8vChUrt3EGzpuQyNiCftcIbQh9LmUvm7JKr9wPXH0Dm6wKkQ5NFIPaorl&#10;1sjbJMmkVR3HhVb19NJS/bkdLYL+Ppz6dJp26/WmGr9MV1X0/oF4fTU/P4EINIdzGH7xIzqUkWnv&#10;RtZeGIT4SPi70XtcphmIPUKa3d+BLAv5n778AQAA//8DAFBLAQItABQABgAIAAAAIQC2gziS/gAA&#10;AOEBAAATAAAAAAAAAAAAAAAAAAAAAABbQ29udGVudF9UeXBlc10ueG1sUEsBAi0AFAAGAAgAAAAh&#10;ADj9If/WAAAAlAEAAAsAAAAAAAAAAAAAAAAALwEAAF9yZWxzLy5yZWxzUEsBAi0AFAAGAAgAAAAh&#10;AEc7pcQYAgAACAQAAA4AAAAAAAAAAAAAAAAALgIAAGRycy9lMm9Eb2MueG1sUEsBAi0AFAAGAAgA&#10;AAAhAP4VF6PbAAAABQEAAA8AAAAAAAAAAAAAAAAAcgQAAGRycy9kb3ducmV2LnhtbFBLBQYAAAAA&#10;BAAEAPMAAAB6BQAAAAA=&#10;" o:allowincell="f" filled="f" stroked="f">
              <v:stroke joinstyle="round"/>
              <o:lock v:ext="edit" shapetype="t"/>
              <v:textbox style="mso-fit-shape-to-text:t">
                <w:txbxContent>
                  <w:p w14:paraId="322807C8" w14:textId="77777777" w:rsidR="00E64B42" w:rsidRDefault="00E64B42" w:rsidP="00BC0572">
                    <w:pPr>
                      <w:pStyle w:val="Normlnweb"/>
                      <w:spacing w:before="0" w:beforeAutospacing="0" w:after="0" w:afterAutospacing="0"/>
                      <w:jc w:val="center"/>
                    </w:pPr>
                    <w:r>
                      <w:rPr>
                        <w:rFonts w:ascii="Arial" w:hAnsi="Arial" w:cs="Arial"/>
                        <w:color w:val="767171" w:themeColor="background2" w:themeShade="80"/>
                        <w:sz w:val="2"/>
                        <w:szCs w:val="2"/>
                        <w14:textFill>
                          <w14:solidFill>
                            <w14:schemeClr w14:val="bg2">
                              <w14:alpha w14:val="50000"/>
                              <w14:lumMod w14:val="50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B43F7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47.25pt" o:bullet="t">
        <v:imagedata r:id="rId1" o:title="Obrázek1"/>
      </v:shape>
    </w:pict>
  </w:numPicBullet>
  <w:abstractNum w:abstractNumId="0" w15:restartNumberingAfterBreak="0">
    <w:nsid w:val="011A6779"/>
    <w:multiLevelType w:val="hybridMultilevel"/>
    <w:tmpl w:val="B7F82E3A"/>
    <w:lvl w:ilvl="0" w:tplc="04050001">
      <w:start w:val="1"/>
      <w:numFmt w:val="bullet"/>
      <w:lvlText w:val=""/>
      <w:lvlJc w:val="left"/>
      <w:pPr>
        <w:ind w:left="530" w:hanging="360"/>
      </w:pPr>
      <w:rPr>
        <w:rFonts w:ascii="Symbol" w:hAnsi="Symbol" w:hint="default"/>
      </w:rPr>
    </w:lvl>
    <w:lvl w:ilvl="1" w:tplc="DEC233B8" w:tentative="1">
      <w:start w:val="1"/>
      <w:numFmt w:val="bullet"/>
      <w:lvlText w:val="o"/>
      <w:lvlJc w:val="left"/>
      <w:pPr>
        <w:ind w:left="1250" w:hanging="360"/>
      </w:pPr>
      <w:rPr>
        <w:rFonts w:ascii="Courier New" w:hAnsi="Courier New" w:cs="Courier New" w:hint="default"/>
      </w:rPr>
    </w:lvl>
    <w:lvl w:ilvl="2" w:tplc="8F1A48C8" w:tentative="1">
      <w:start w:val="1"/>
      <w:numFmt w:val="bullet"/>
      <w:lvlText w:val=""/>
      <w:lvlJc w:val="left"/>
      <w:pPr>
        <w:ind w:left="1970" w:hanging="360"/>
      </w:pPr>
      <w:rPr>
        <w:rFonts w:ascii="Wingdings" w:hAnsi="Wingdings" w:hint="default"/>
      </w:rPr>
    </w:lvl>
    <w:lvl w:ilvl="3" w:tplc="987AEB60" w:tentative="1">
      <w:start w:val="1"/>
      <w:numFmt w:val="bullet"/>
      <w:lvlText w:val=""/>
      <w:lvlJc w:val="left"/>
      <w:pPr>
        <w:ind w:left="2690" w:hanging="360"/>
      </w:pPr>
      <w:rPr>
        <w:rFonts w:ascii="Symbol" w:hAnsi="Symbol" w:hint="default"/>
      </w:rPr>
    </w:lvl>
    <w:lvl w:ilvl="4" w:tplc="72A47B30" w:tentative="1">
      <w:start w:val="1"/>
      <w:numFmt w:val="bullet"/>
      <w:lvlText w:val="o"/>
      <w:lvlJc w:val="left"/>
      <w:pPr>
        <w:ind w:left="3410" w:hanging="360"/>
      </w:pPr>
      <w:rPr>
        <w:rFonts w:ascii="Courier New" w:hAnsi="Courier New" w:cs="Courier New" w:hint="default"/>
      </w:rPr>
    </w:lvl>
    <w:lvl w:ilvl="5" w:tplc="6EEA90B2" w:tentative="1">
      <w:start w:val="1"/>
      <w:numFmt w:val="bullet"/>
      <w:lvlText w:val=""/>
      <w:lvlJc w:val="left"/>
      <w:pPr>
        <w:ind w:left="4130" w:hanging="360"/>
      </w:pPr>
      <w:rPr>
        <w:rFonts w:ascii="Wingdings" w:hAnsi="Wingdings" w:hint="default"/>
      </w:rPr>
    </w:lvl>
    <w:lvl w:ilvl="6" w:tplc="9E0CB722" w:tentative="1">
      <w:start w:val="1"/>
      <w:numFmt w:val="bullet"/>
      <w:lvlText w:val=""/>
      <w:lvlJc w:val="left"/>
      <w:pPr>
        <w:ind w:left="4850" w:hanging="360"/>
      </w:pPr>
      <w:rPr>
        <w:rFonts w:ascii="Symbol" w:hAnsi="Symbol" w:hint="default"/>
      </w:rPr>
    </w:lvl>
    <w:lvl w:ilvl="7" w:tplc="310CF68C" w:tentative="1">
      <w:start w:val="1"/>
      <w:numFmt w:val="bullet"/>
      <w:lvlText w:val="o"/>
      <w:lvlJc w:val="left"/>
      <w:pPr>
        <w:ind w:left="5570" w:hanging="360"/>
      </w:pPr>
      <w:rPr>
        <w:rFonts w:ascii="Courier New" w:hAnsi="Courier New" w:cs="Courier New" w:hint="default"/>
      </w:rPr>
    </w:lvl>
    <w:lvl w:ilvl="8" w:tplc="0E5C2FCA" w:tentative="1">
      <w:start w:val="1"/>
      <w:numFmt w:val="bullet"/>
      <w:lvlText w:val=""/>
      <w:lvlJc w:val="left"/>
      <w:pPr>
        <w:ind w:left="6290" w:hanging="360"/>
      </w:pPr>
      <w:rPr>
        <w:rFonts w:ascii="Wingdings" w:hAnsi="Wingdings" w:hint="default"/>
      </w:rPr>
    </w:lvl>
  </w:abstractNum>
  <w:abstractNum w:abstractNumId="1" w15:restartNumberingAfterBreak="0">
    <w:nsid w:val="02E82010"/>
    <w:multiLevelType w:val="hybridMultilevel"/>
    <w:tmpl w:val="5320422A"/>
    <w:lvl w:ilvl="0" w:tplc="14F8D508">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4C40D82"/>
    <w:multiLevelType w:val="multilevel"/>
    <w:tmpl w:val="C7FC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B6369"/>
    <w:multiLevelType w:val="hybridMultilevel"/>
    <w:tmpl w:val="F92EF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6203956"/>
    <w:multiLevelType w:val="hybridMultilevel"/>
    <w:tmpl w:val="D11E2846"/>
    <w:lvl w:ilvl="0" w:tplc="E2BCFC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D29BB"/>
    <w:multiLevelType w:val="hybridMultilevel"/>
    <w:tmpl w:val="7496FB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7A03A44"/>
    <w:multiLevelType w:val="hybridMultilevel"/>
    <w:tmpl w:val="E02693EA"/>
    <w:lvl w:ilvl="0" w:tplc="1912308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919436A"/>
    <w:multiLevelType w:val="hybridMultilevel"/>
    <w:tmpl w:val="1450B324"/>
    <w:lvl w:ilvl="0" w:tplc="D7E273C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577918"/>
    <w:multiLevelType w:val="hybridMultilevel"/>
    <w:tmpl w:val="A46C45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097A49A7"/>
    <w:multiLevelType w:val="hybridMultilevel"/>
    <w:tmpl w:val="8384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9E6DA0B"/>
    <w:multiLevelType w:val="hybridMultilevel"/>
    <w:tmpl w:val="95566D56"/>
    <w:lvl w:ilvl="0" w:tplc="05E21800">
      <w:start w:val="1"/>
      <w:numFmt w:val="decimal"/>
      <w:lvlText w:val="%1."/>
      <w:lvlJc w:val="left"/>
      <w:pPr>
        <w:ind w:left="720" w:hanging="360"/>
      </w:pPr>
    </w:lvl>
    <w:lvl w:ilvl="1" w:tplc="168C57BA">
      <w:start w:val="1"/>
      <w:numFmt w:val="lowerLetter"/>
      <w:lvlText w:val="%2."/>
      <w:lvlJc w:val="left"/>
      <w:pPr>
        <w:ind w:left="1440" w:hanging="360"/>
      </w:pPr>
    </w:lvl>
    <w:lvl w:ilvl="2" w:tplc="0B6A4526">
      <w:start w:val="1"/>
      <w:numFmt w:val="lowerRoman"/>
      <w:lvlText w:val="%3."/>
      <w:lvlJc w:val="right"/>
      <w:pPr>
        <w:ind w:left="2160" w:hanging="180"/>
      </w:pPr>
    </w:lvl>
    <w:lvl w:ilvl="3" w:tplc="1DCEC0EC">
      <w:start w:val="1"/>
      <w:numFmt w:val="decimal"/>
      <w:lvlText w:val="%4."/>
      <w:lvlJc w:val="left"/>
      <w:pPr>
        <w:ind w:left="2880" w:hanging="360"/>
      </w:pPr>
    </w:lvl>
    <w:lvl w:ilvl="4" w:tplc="A64C347C">
      <w:start w:val="1"/>
      <w:numFmt w:val="lowerLetter"/>
      <w:lvlText w:val="%5."/>
      <w:lvlJc w:val="left"/>
      <w:pPr>
        <w:ind w:left="3600" w:hanging="360"/>
      </w:pPr>
    </w:lvl>
    <w:lvl w:ilvl="5" w:tplc="F2AA1F32">
      <w:start w:val="1"/>
      <w:numFmt w:val="lowerRoman"/>
      <w:lvlText w:val="%6."/>
      <w:lvlJc w:val="right"/>
      <w:pPr>
        <w:ind w:left="4320" w:hanging="180"/>
      </w:pPr>
    </w:lvl>
    <w:lvl w:ilvl="6" w:tplc="059A3FC2">
      <w:start w:val="1"/>
      <w:numFmt w:val="decimal"/>
      <w:lvlText w:val="%7."/>
      <w:lvlJc w:val="left"/>
      <w:pPr>
        <w:ind w:left="5040" w:hanging="360"/>
      </w:pPr>
    </w:lvl>
    <w:lvl w:ilvl="7" w:tplc="6BAE55DE">
      <w:start w:val="1"/>
      <w:numFmt w:val="lowerLetter"/>
      <w:lvlText w:val="%8."/>
      <w:lvlJc w:val="left"/>
      <w:pPr>
        <w:ind w:left="5760" w:hanging="360"/>
      </w:pPr>
    </w:lvl>
    <w:lvl w:ilvl="8" w:tplc="9FBEC306">
      <w:start w:val="1"/>
      <w:numFmt w:val="lowerRoman"/>
      <w:lvlText w:val="%9."/>
      <w:lvlJc w:val="right"/>
      <w:pPr>
        <w:ind w:left="6480" w:hanging="180"/>
      </w:pPr>
    </w:lvl>
  </w:abstractNum>
  <w:abstractNum w:abstractNumId="11" w15:restartNumberingAfterBreak="0">
    <w:nsid w:val="0A3D6857"/>
    <w:multiLevelType w:val="multilevel"/>
    <w:tmpl w:val="4C44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452123"/>
    <w:multiLevelType w:val="hybridMultilevel"/>
    <w:tmpl w:val="70945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FE69AA"/>
    <w:multiLevelType w:val="hybridMultilevel"/>
    <w:tmpl w:val="77102D98"/>
    <w:lvl w:ilvl="0" w:tplc="6B16AA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B0C6B78"/>
    <w:multiLevelType w:val="hybridMultilevel"/>
    <w:tmpl w:val="31668570"/>
    <w:lvl w:ilvl="0" w:tplc="048A714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536D8C"/>
    <w:multiLevelType w:val="hybridMultilevel"/>
    <w:tmpl w:val="E82EE7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CC1049C"/>
    <w:multiLevelType w:val="hybridMultilevel"/>
    <w:tmpl w:val="060EA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E5A4B5E"/>
    <w:multiLevelType w:val="hybridMultilevel"/>
    <w:tmpl w:val="540CE952"/>
    <w:lvl w:ilvl="0" w:tplc="11E84DB8">
      <w:start w:val="1"/>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B43304"/>
    <w:multiLevelType w:val="multilevel"/>
    <w:tmpl w:val="C198A096"/>
    <w:lvl w:ilvl="0">
      <w:start w:val="1"/>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ED07213"/>
    <w:multiLevelType w:val="hybridMultilevel"/>
    <w:tmpl w:val="482C49A4"/>
    <w:lvl w:ilvl="0" w:tplc="AE52005E">
      <w:start w:val="1"/>
      <w:numFmt w:val="lowerLetter"/>
      <w:pStyle w:val="Odrkyabc"/>
      <w:lvlText w:val="%1)"/>
      <w:lvlJc w:val="left"/>
      <w:pPr>
        <w:tabs>
          <w:tab w:val="num" w:pos="680"/>
        </w:tabs>
        <w:ind w:left="680" w:hanging="396"/>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0F950B7B"/>
    <w:multiLevelType w:val="multilevel"/>
    <w:tmpl w:val="6266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0AAD5A"/>
    <w:multiLevelType w:val="hybridMultilevel"/>
    <w:tmpl w:val="730028E4"/>
    <w:lvl w:ilvl="0" w:tplc="0AF6FA02">
      <w:start w:val="1"/>
      <w:numFmt w:val="bullet"/>
      <w:lvlText w:val=""/>
      <w:lvlJc w:val="left"/>
      <w:pPr>
        <w:ind w:left="720" w:hanging="360"/>
      </w:pPr>
      <w:rPr>
        <w:rFonts w:ascii="Symbol" w:hAnsi="Symbol" w:hint="default"/>
      </w:rPr>
    </w:lvl>
    <w:lvl w:ilvl="1" w:tplc="C8B2CBEC">
      <w:start w:val="1"/>
      <w:numFmt w:val="bullet"/>
      <w:lvlText w:val="o"/>
      <w:lvlJc w:val="left"/>
      <w:pPr>
        <w:ind w:left="1440" w:hanging="360"/>
      </w:pPr>
      <w:rPr>
        <w:rFonts w:ascii="&quot;Courier New&quot;" w:hAnsi="&quot;Courier New&quot;" w:hint="default"/>
      </w:rPr>
    </w:lvl>
    <w:lvl w:ilvl="2" w:tplc="C8AC2404">
      <w:start w:val="1"/>
      <w:numFmt w:val="bullet"/>
      <w:lvlText w:val=""/>
      <w:lvlJc w:val="left"/>
      <w:pPr>
        <w:ind w:left="2160" w:hanging="360"/>
      </w:pPr>
      <w:rPr>
        <w:rFonts w:ascii="Wingdings" w:hAnsi="Wingdings" w:hint="default"/>
      </w:rPr>
    </w:lvl>
    <w:lvl w:ilvl="3" w:tplc="1804D232">
      <w:start w:val="1"/>
      <w:numFmt w:val="bullet"/>
      <w:lvlText w:val=""/>
      <w:lvlJc w:val="left"/>
      <w:pPr>
        <w:ind w:left="2880" w:hanging="360"/>
      </w:pPr>
      <w:rPr>
        <w:rFonts w:ascii="Symbol" w:hAnsi="Symbol" w:hint="default"/>
      </w:rPr>
    </w:lvl>
    <w:lvl w:ilvl="4" w:tplc="8486ACBC">
      <w:start w:val="1"/>
      <w:numFmt w:val="bullet"/>
      <w:lvlText w:val="o"/>
      <w:lvlJc w:val="left"/>
      <w:pPr>
        <w:ind w:left="3600" w:hanging="360"/>
      </w:pPr>
      <w:rPr>
        <w:rFonts w:ascii="Courier New" w:hAnsi="Courier New" w:hint="default"/>
      </w:rPr>
    </w:lvl>
    <w:lvl w:ilvl="5" w:tplc="54247032">
      <w:start w:val="1"/>
      <w:numFmt w:val="bullet"/>
      <w:lvlText w:val=""/>
      <w:lvlJc w:val="left"/>
      <w:pPr>
        <w:ind w:left="4320" w:hanging="360"/>
      </w:pPr>
      <w:rPr>
        <w:rFonts w:ascii="Wingdings" w:hAnsi="Wingdings" w:hint="default"/>
      </w:rPr>
    </w:lvl>
    <w:lvl w:ilvl="6" w:tplc="9930642C">
      <w:start w:val="1"/>
      <w:numFmt w:val="bullet"/>
      <w:lvlText w:val=""/>
      <w:lvlJc w:val="left"/>
      <w:pPr>
        <w:ind w:left="5040" w:hanging="360"/>
      </w:pPr>
      <w:rPr>
        <w:rFonts w:ascii="Symbol" w:hAnsi="Symbol" w:hint="default"/>
      </w:rPr>
    </w:lvl>
    <w:lvl w:ilvl="7" w:tplc="498A9AE6">
      <w:start w:val="1"/>
      <w:numFmt w:val="bullet"/>
      <w:lvlText w:val="o"/>
      <w:lvlJc w:val="left"/>
      <w:pPr>
        <w:ind w:left="5760" w:hanging="360"/>
      </w:pPr>
      <w:rPr>
        <w:rFonts w:ascii="Courier New" w:hAnsi="Courier New" w:hint="default"/>
      </w:rPr>
    </w:lvl>
    <w:lvl w:ilvl="8" w:tplc="F398BCF0">
      <w:start w:val="1"/>
      <w:numFmt w:val="bullet"/>
      <w:lvlText w:val=""/>
      <w:lvlJc w:val="left"/>
      <w:pPr>
        <w:ind w:left="6480" w:hanging="360"/>
      </w:pPr>
      <w:rPr>
        <w:rFonts w:ascii="Wingdings" w:hAnsi="Wingdings" w:hint="default"/>
      </w:rPr>
    </w:lvl>
  </w:abstractNum>
  <w:abstractNum w:abstractNumId="22" w15:restartNumberingAfterBreak="0">
    <w:nsid w:val="1215624B"/>
    <w:multiLevelType w:val="multilevel"/>
    <w:tmpl w:val="650E36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C678BF"/>
    <w:multiLevelType w:val="hybridMultilevel"/>
    <w:tmpl w:val="37ECB8D8"/>
    <w:lvl w:ilvl="0" w:tplc="B81445F0">
      <w:start w:val="1"/>
      <w:numFmt w:val="bullet"/>
      <w:lvlText w:val=""/>
      <w:lvlJc w:val="left"/>
      <w:pPr>
        <w:tabs>
          <w:tab w:val="num" w:pos="720"/>
        </w:tabs>
        <w:ind w:left="720" w:hanging="360"/>
      </w:pPr>
      <w:rPr>
        <w:rFonts w:ascii="Symbol" w:hAnsi="Symbol" w:hint="default"/>
      </w:rPr>
    </w:lvl>
    <w:lvl w:ilvl="1" w:tplc="75908024">
      <w:start w:val="1"/>
      <w:numFmt w:val="bullet"/>
      <w:lvlText w:val=""/>
      <w:lvlJc w:val="left"/>
      <w:pPr>
        <w:tabs>
          <w:tab w:val="num" w:pos="1440"/>
        </w:tabs>
        <w:ind w:left="1440" w:hanging="360"/>
      </w:pPr>
      <w:rPr>
        <w:rFonts w:ascii="Symbol" w:hAnsi="Symbol" w:hint="default"/>
      </w:rPr>
    </w:lvl>
    <w:lvl w:ilvl="2" w:tplc="5F0E3942" w:tentative="1">
      <w:start w:val="1"/>
      <w:numFmt w:val="bullet"/>
      <w:lvlText w:val=""/>
      <w:lvlJc w:val="left"/>
      <w:pPr>
        <w:tabs>
          <w:tab w:val="num" w:pos="2160"/>
        </w:tabs>
        <w:ind w:left="2160" w:hanging="360"/>
      </w:pPr>
      <w:rPr>
        <w:rFonts w:ascii="Symbol" w:hAnsi="Symbol" w:hint="default"/>
      </w:rPr>
    </w:lvl>
    <w:lvl w:ilvl="3" w:tplc="F3466D04" w:tentative="1">
      <w:start w:val="1"/>
      <w:numFmt w:val="bullet"/>
      <w:lvlText w:val=""/>
      <w:lvlJc w:val="left"/>
      <w:pPr>
        <w:tabs>
          <w:tab w:val="num" w:pos="2880"/>
        </w:tabs>
        <w:ind w:left="2880" w:hanging="360"/>
      </w:pPr>
      <w:rPr>
        <w:rFonts w:ascii="Symbol" w:hAnsi="Symbol" w:hint="default"/>
      </w:rPr>
    </w:lvl>
    <w:lvl w:ilvl="4" w:tplc="ABC4F6B8" w:tentative="1">
      <w:start w:val="1"/>
      <w:numFmt w:val="bullet"/>
      <w:lvlText w:val=""/>
      <w:lvlJc w:val="left"/>
      <w:pPr>
        <w:tabs>
          <w:tab w:val="num" w:pos="3600"/>
        </w:tabs>
        <w:ind w:left="3600" w:hanging="360"/>
      </w:pPr>
      <w:rPr>
        <w:rFonts w:ascii="Symbol" w:hAnsi="Symbol" w:hint="default"/>
      </w:rPr>
    </w:lvl>
    <w:lvl w:ilvl="5" w:tplc="90E40A90" w:tentative="1">
      <w:start w:val="1"/>
      <w:numFmt w:val="bullet"/>
      <w:lvlText w:val=""/>
      <w:lvlJc w:val="left"/>
      <w:pPr>
        <w:tabs>
          <w:tab w:val="num" w:pos="4320"/>
        </w:tabs>
        <w:ind w:left="4320" w:hanging="360"/>
      </w:pPr>
      <w:rPr>
        <w:rFonts w:ascii="Symbol" w:hAnsi="Symbol" w:hint="default"/>
      </w:rPr>
    </w:lvl>
    <w:lvl w:ilvl="6" w:tplc="75F25F10" w:tentative="1">
      <w:start w:val="1"/>
      <w:numFmt w:val="bullet"/>
      <w:lvlText w:val=""/>
      <w:lvlJc w:val="left"/>
      <w:pPr>
        <w:tabs>
          <w:tab w:val="num" w:pos="5040"/>
        </w:tabs>
        <w:ind w:left="5040" w:hanging="360"/>
      </w:pPr>
      <w:rPr>
        <w:rFonts w:ascii="Symbol" w:hAnsi="Symbol" w:hint="default"/>
      </w:rPr>
    </w:lvl>
    <w:lvl w:ilvl="7" w:tplc="47086322" w:tentative="1">
      <w:start w:val="1"/>
      <w:numFmt w:val="bullet"/>
      <w:lvlText w:val=""/>
      <w:lvlJc w:val="left"/>
      <w:pPr>
        <w:tabs>
          <w:tab w:val="num" w:pos="5760"/>
        </w:tabs>
        <w:ind w:left="5760" w:hanging="360"/>
      </w:pPr>
      <w:rPr>
        <w:rFonts w:ascii="Symbol" w:hAnsi="Symbol" w:hint="default"/>
      </w:rPr>
    </w:lvl>
    <w:lvl w:ilvl="8" w:tplc="A0E03C0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130316F8"/>
    <w:multiLevelType w:val="multilevel"/>
    <w:tmpl w:val="3320A8B2"/>
    <w:numStyleLink w:val="VariantaB-odrky"/>
  </w:abstractNum>
  <w:abstractNum w:abstractNumId="25" w15:restartNumberingAfterBreak="0">
    <w:nsid w:val="1327774B"/>
    <w:multiLevelType w:val="hybridMultilevel"/>
    <w:tmpl w:val="B87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2B07ED"/>
    <w:multiLevelType w:val="hybridMultilevel"/>
    <w:tmpl w:val="97F2C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FF4A76"/>
    <w:multiLevelType w:val="hybridMultilevel"/>
    <w:tmpl w:val="2ED63DC8"/>
    <w:lvl w:ilvl="0" w:tplc="04050013">
      <w:start w:val="1"/>
      <w:numFmt w:val="upperRoman"/>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3C7A2A"/>
    <w:multiLevelType w:val="hybridMultilevel"/>
    <w:tmpl w:val="5DDC4FA6"/>
    <w:lvl w:ilvl="0" w:tplc="ABDA49E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4CD34F0"/>
    <w:multiLevelType w:val="hybridMultilevel"/>
    <w:tmpl w:val="31BA3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59E73E5"/>
    <w:multiLevelType w:val="hybridMultilevel"/>
    <w:tmpl w:val="DF9E2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6075155"/>
    <w:multiLevelType w:val="hybridMultilevel"/>
    <w:tmpl w:val="03DA3D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33" w15:restartNumberingAfterBreak="0">
    <w:nsid w:val="186D54AD"/>
    <w:multiLevelType w:val="hybridMultilevel"/>
    <w:tmpl w:val="3F0C0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8743D61"/>
    <w:multiLevelType w:val="multilevel"/>
    <w:tmpl w:val="0804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92D11DA"/>
    <w:multiLevelType w:val="hybridMultilevel"/>
    <w:tmpl w:val="01C651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AC53E58"/>
    <w:multiLevelType w:val="hybridMultilevel"/>
    <w:tmpl w:val="CB96B39C"/>
    <w:lvl w:ilvl="0" w:tplc="E01AE388">
      <w:start w:val="1"/>
      <w:numFmt w:val="bullet"/>
      <w:lvlText w:val=""/>
      <w:lvlJc w:val="left"/>
      <w:pPr>
        <w:tabs>
          <w:tab w:val="num" w:pos="720"/>
        </w:tabs>
        <w:ind w:left="720" w:hanging="360"/>
      </w:pPr>
      <w:rPr>
        <w:rFonts w:ascii="Symbol" w:hAnsi="Symbol" w:hint="default"/>
      </w:rPr>
    </w:lvl>
    <w:lvl w:ilvl="1" w:tplc="57442688">
      <w:start w:val="1"/>
      <w:numFmt w:val="bullet"/>
      <w:lvlText w:val=""/>
      <w:lvlJc w:val="left"/>
      <w:pPr>
        <w:tabs>
          <w:tab w:val="num" w:pos="1440"/>
        </w:tabs>
        <w:ind w:left="1440" w:hanging="360"/>
      </w:pPr>
      <w:rPr>
        <w:rFonts w:ascii="Symbol" w:hAnsi="Symbol" w:hint="default"/>
      </w:rPr>
    </w:lvl>
    <w:lvl w:ilvl="2" w:tplc="92F6787A" w:tentative="1">
      <w:start w:val="1"/>
      <w:numFmt w:val="bullet"/>
      <w:lvlText w:val=""/>
      <w:lvlJc w:val="left"/>
      <w:pPr>
        <w:tabs>
          <w:tab w:val="num" w:pos="2160"/>
        </w:tabs>
        <w:ind w:left="2160" w:hanging="360"/>
      </w:pPr>
      <w:rPr>
        <w:rFonts w:ascii="Symbol" w:hAnsi="Symbol" w:hint="default"/>
      </w:rPr>
    </w:lvl>
    <w:lvl w:ilvl="3" w:tplc="579C93BC" w:tentative="1">
      <w:start w:val="1"/>
      <w:numFmt w:val="bullet"/>
      <w:lvlText w:val=""/>
      <w:lvlJc w:val="left"/>
      <w:pPr>
        <w:tabs>
          <w:tab w:val="num" w:pos="2880"/>
        </w:tabs>
        <w:ind w:left="2880" w:hanging="360"/>
      </w:pPr>
      <w:rPr>
        <w:rFonts w:ascii="Symbol" w:hAnsi="Symbol" w:hint="default"/>
      </w:rPr>
    </w:lvl>
    <w:lvl w:ilvl="4" w:tplc="F5D4644C" w:tentative="1">
      <w:start w:val="1"/>
      <w:numFmt w:val="bullet"/>
      <w:lvlText w:val=""/>
      <w:lvlJc w:val="left"/>
      <w:pPr>
        <w:tabs>
          <w:tab w:val="num" w:pos="3600"/>
        </w:tabs>
        <w:ind w:left="3600" w:hanging="360"/>
      </w:pPr>
      <w:rPr>
        <w:rFonts w:ascii="Symbol" w:hAnsi="Symbol" w:hint="default"/>
      </w:rPr>
    </w:lvl>
    <w:lvl w:ilvl="5" w:tplc="469C620A" w:tentative="1">
      <w:start w:val="1"/>
      <w:numFmt w:val="bullet"/>
      <w:lvlText w:val=""/>
      <w:lvlJc w:val="left"/>
      <w:pPr>
        <w:tabs>
          <w:tab w:val="num" w:pos="4320"/>
        </w:tabs>
        <w:ind w:left="4320" w:hanging="360"/>
      </w:pPr>
      <w:rPr>
        <w:rFonts w:ascii="Symbol" w:hAnsi="Symbol" w:hint="default"/>
      </w:rPr>
    </w:lvl>
    <w:lvl w:ilvl="6" w:tplc="82ACA2BE" w:tentative="1">
      <w:start w:val="1"/>
      <w:numFmt w:val="bullet"/>
      <w:lvlText w:val=""/>
      <w:lvlJc w:val="left"/>
      <w:pPr>
        <w:tabs>
          <w:tab w:val="num" w:pos="5040"/>
        </w:tabs>
        <w:ind w:left="5040" w:hanging="360"/>
      </w:pPr>
      <w:rPr>
        <w:rFonts w:ascii="Symbol" w:hAnsi="Symbol" w:hint="default"/>
      </w:rPr>
    </w:lvl>
    <w:lvl w:ilvl="7" w:tplc="BE14A444" w:tentative="1">
      <w:start w:val="1"/>
      <w:numFmt w:val="bullet"/>
      <w:lvlText w:val=""/>
      <w:lvlJc w:val="left"/>
      <w:pPr>
        <w:tabs>
          <w:tab w:val="num" w:pos="5760"/>
        </w:tabs>
        <w:ind w:left="5760" w:hanging="360"/>
      </w:pPr>
      <w:rPr>
        <w:rFonts w:ascii="Symbol" w:hAnsi="Symbol" w:hint="default"/>
      </w:rPr>
    </w:lvl>
    <w:lvl w:ilvl="8" w:tplc="5762CAD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1C5B108A"/>
    <w:multiLevelType w:val="hybridMultilevel"/>
    <w:tmpl w:val="9F62EDE8"/>
    <w:lvl w:ilvl="0" w:tplc="737235D4">
      <w:start w:val="1"/>
      <w:numFmt w:val="bullet"/>
      <w:pStyle w:val="Bullet2"/>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CC7C52"/>
    <w:multiLevelType w:val="hybridMultilevel"/>
    <w:tmpl w:val="4EC43FB2"/>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9" w15:restartNumberingAfterBreak="0">
    <w:nsid w:val="1D171FE1"/>
    <w:multiLevelType w:val="hybridMultilevel"/>
    <w:tmpl w:val="57E0A1F8"/>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1DA21811"/>
    <w:multiLevelType w:val="hybridMultilevel"/>
    <w:tmpl w:val="B0E60A9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1EE61D96"/>
    <w:multiLevelType w:val="hybridMultilevel"/>
    <w:tmpl w:val="916EB2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02A22D4"/>
    <w:multiLevelType w:val="multilevel"/>
    <w:tmpl w:val="C44E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24152A9"/>
    <w:multiLevelType w:val="hybridMultilevel"/>
    <w:tmpl w:val="0D62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E97BBE"/>
    <w:multiLevelType w:val="multilevel"/>
    <w:tmpl w:val="17547A20"/>
    <w:lvl w:ilvl="0">
      <w:start w:val="1"/>
      <w:numFmt w:val="bullet"/>
      <w:lvlText w:val=""/>
      <w:lvlJc w:val="left"/>
      <w:pPr>
        <w:tabs>
          <w:tab w:val="num" w:pos="-519"/>
        </w:tabs>
        <w:ind w:left="-519" w:hanging="360"/>
      </w:pPr>
      <w:rPr>
        <w:rFonts w:ascii="Symbol" w:hAnsi="Symbol" w:hint="default"/>
        <w:sz w:val="20"/>
      </w:rPr>
    </w:lvl>
    <w:lvl w:ilvl="1" w:tentative="1">
      <w:start w:val="1"/>
      <w:numFmt w:val="bullet"/>
      <w:lvlText w:val=""/>
      <w:lvlJc w:val="left"/>
      <w:pPr>
        <w:tabs>
          <w:tab w:val="num" w:pos="201"/>
        </w:tabs>
        <w:ind w:left="201" w:hanging="360"/>
      </w:pPr>
      <w:rPr>
        <w:rFonts w:ascii="Symbol" w:hAnsi="Symbol" w:hint="default"/>
        <w:sz w:val="20"/>
      </w:rPr>
    </w:lvl>
    <w:lvl w:ilvl="2" w:tentative="1">
      <w:start w:val="1"/>
      <w:numFmt w:val="bullet"/>
      <w:lvlText w:val=""/>
      <w:lvlJc w:val="left"/>
      <w:pPr>
        <w:tabs>
          <w:tab w:val="num" w:pos="921"/>
        </w:tabs>
        <w:ind w:left="921" w:hanging="360"/>
      </w:pPr>
      <w:rPr>
        <w:rFonts w:ascii="Symbol" w:hAnsi="Symbol" w:hint="default"/>
        <w:sz w:val="20"/>
      </w:rPr>
    </w:lvl>
    <w:lvl w:ilvl="3" w:tentative="1">
      <w:start w:val="1"/>
      <w:numFmt w:val="bullet"/>
      <w:lvlText w:val=""/>
      <w:lvlJc w:val="left"/>
      <w:pPr>
        <w:tabs>
          <w:tab w:val="num" w:pos="1641"/>
        </w:tabs>
        <w:ind w:left="1641" w:hanging="360"/>
      </w:pPr>
      <w:rPr>
        <w:rFonts w:ascii="Symbol" w:hAnsi="Symbol" w:hint="default"/>
        <w:sz w:val="20"/>
      </w:rPr>
    </w:lvl>
    <w:lvl w:ilvl="4" w:tentative="1">
      <w:start w:val="1"/>
      <w:numFmt w:val="bullet"/>
      <w:lvlText w:val=""/>
      <w:lvlJc w:val="left"/>
      <w:pPr>
        <w:tabs>
          <w:tab w:val="num" w:pos="2361"/>
        </w:tabs>
        <w:ind w:left="2361" w:hanging="360"/>
      </w:pPr>
      <w:rPr>
        <w:rFonts w:ascii="Symbol" w:hAnsi="Symbol" w:hint="default"/>
        <w:sz w:val="20"/>
      </w:rPr>
    </w:lvl>
    <w:lvl w:ilvl="5" w:tentative="1">
      <w:start w:val="1"/>
      <w:numFmt w:val="bullet"/>
      <w:lvlText w:val=""/>
      <w:lvlJc w:val="left"/>
      <w:pPr>
        <w:tabs>
          <w:tab w:val="num" w:pos="3081"/>
        </w:tabs>
        <w:ind w:left="3081" w:hanging="360"/>
      </w:pPr>
      <w:rPr>
        <w:rFonts w:ascii="Symbol" w:hAnsi="Symbol" w:hint="default"/>
        <w:sz w:val="20"/>
      </w:rPr>
    </w:lvl>
    <w:lvl w:ilvl="6" w:tentative="1">
      <w:start w:val="1"/>
      <w:numFmt w:val="bullet"/>
      <w:lvlText w:val=""/>
      <w:lvlJc w:val="left"/>
      <w:pPr>
        <w:tabs>
          <w:tab w:val="num" w:pos="3801"/>
        </w:tabs>
        <w:ind w:left="3801" w:hanging="360"/>
      </w:pPr>
      <w:rPr>
        <w:rFonts w:ascii="Symbol" w:hAnsi="Symbol" w:hint="default"/>
        <w:sz w:val="20"/>
      </w:rPr>
    </w:lvl>
    <w:lvl w:ilvl="7" w:tentative="1">
      <w:start w:val="1"/>
      <w:numFmt w:val="bullet"/>
      <w:lvlText w:val=""/>
      <w:lvlJc w:val="left"/>
      <w:pPr>
        <w:tabs>
          <w:tab w:val="num" w:pos="4521"/>
        </w:tabs>
        <w:ind w:left="4521" w:hanging="360"/>
      </w:pPr>
      <w:rPr>
        <w:rFonts w:ascii="Symbol" w:hAnsi="Symbol" w:hint="default"/>
        <w:sz w:val="20"/>
      </w:rPr>
    </w:lvl>
    <w:lvl w:ilvl="8" w:tentative="1">
      <w:start w:val="1"/>
      <w:numFmt w:val="bullet"/>
      <w:lvlText w:val=""/>
      <w:lvlJc w:val="left"/>
      <w:pPr>
        <w:tabs>
          <w:tab w:val="num" w:pos="5241"/>
        </w:tabs>
        <w:ind w:left="5241" w:hanging="360"/>
      </w:pPr>
      <w:rPr>
        <w:rFonts w:ascii="Symbol" w:hAnsi="Symbol" w:hint="default"/>
        <w:sz w:val="20"/>
      </w:rPr>
    </w:lvl>
  </w:abstractNum>
  <w:abstractNum w:abstractNumId="45" w15:restartNumberingAfterBreak="0">
    <w:nsid w:val="23453825"/>
    <w:multiLevelType w:val="hybridMultilevel"/>
    <w:tmpl w:val="5290E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36479A6"/>
    <w:multiLevelType w:val="hybridMultilevel"/>
    <w:tmpl w:val="0DA4B3A6"/>
    <w:lvl w:ilvl="0" w:tplc="D5022AAA">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36D3E06"/>
    <w:multiLevelType w:val="hybridMultilevel"/>
    <w:tmpl w:val="4790B8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0C170F"/>
    <w:multiLevelType w:val="hybridMultilevel"/>
    <w:tmpl w:val="C5805D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02654F"/>
    <w:multiLevelType w:val="multilevel"/>
    <w:tmpl w:val="AE4AF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6361EE4"/>
    <w:multiLevelType w:val="hybridMultilevel"/>
    <w:tmpl w:val="80A48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696787E"/>
    <w:multiLevelType w:val="hybridMultilevel"/>
    <w:tmpl w:val="1B6429F2"/>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2" w15:restartNumberingAfterBreak="0">
    <w:nsid w:val="28910BA9"/>
    <w:multiLevelType w:val="multilevel"/>
    <w:tmpl w:val="187E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9097F99"/>
    <w:multiLevelType w:val="hybridMultilevel"/>
    <w:tmpl w:val="A5D45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295A1F32"/>
    <w:multiLevelType w:val="multilevel"/>
    <w:tmpl w:val="16BA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AB52939"/>
    <w:multiLevelType w:val="hybridMultilevel"/>
    <w:tmpl w:val="4AD06A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2BBC0681"/>
    <w:multiLevelType w:val="hybridMultilevel"/>
    <w:tmpl w:val="5644F17C"/>
    <w:lvl w:ilvl="0" w:tplc="B8A62E6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E122D4"/>
    <w:multiLevelType w:val="hybridMultilevel"/>
    <w:tmpl w:val="DBDADD80"/>
    <w:lvl w:ilvl="0" w:tplc="2390BAB8">
      <w:start w:val="1"/>
      <w:numFmt w:val="lowerLetter"/>
      <w:lvlText w:val="%1)"/>
      <w:lvlJc w:val="left"/>
      <w:pPr>
        <w:ind w:left="720" w:hanging="360"/>
      </w:pPr>
      <w:rPr>
        <w:rFonts w:ascii="Arial" w:hAnsi="Arial" w:cs="Arial" w:hint="default"/>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FE759D"/>
    <w:multiLevelType w:val="hybridMultilevel"/>
    <w:tmpl w:val="A38A8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2A5931"/>
    <w:multiLevelType w:val="multilevel"/>
    <w:tmpl w:val="142AED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2D6E2193"/>
    <w:multiLevelType w:val="hybridMultilevel"/>
    <w:tmpl w:val="6AB87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1" w15:restartNumberingAfterBreak="0">
    <w:nsid w:val="2DA956C5"/>
    <w:multiLevelType w:val="hybridMultilevel"/>
    <w:tmpl w:val="11A8C0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2E2F799B"/>
    <w:multiLevelType w:val="hybridMultilevel"/>
    <w:tmpl w:val="26C0E5F0"/>
    <w:lvl w:ilvl="0" w:tplc="A5646194">
      <w:start w:val="1"/>
      <w:numFmt w:val="bullet"/>
      <w:lvlText w:val=""/>
      <w:lvlJc w:val="left"/>
      <w:pPr>
        <w:tabs>
          <w:tab w:val="num" w:pos="720"/>
        </w:tabs>
        <w:ind w:left="720" w:hanging="360"/>
      </w:pPr>
      <w:rPr>
        <w:rFonts w:ascii="Symbol" w:hAnsi="Symbol" w:hint="default"/>
      </w:rPr>
    </w:lvl>
    <w:lvl w:ilvl="1" w:tplc="05167E7C">
      <w:start w:val="1"/>
      <w:numFmt w:val="bullet"/>
      <w:lvlText w:val=""/>
      <w:lvlJc w:val="left"/>
      <w:pPr>
        <w:tabs>
          <w:tab w:val="num" w:pos="1440"/>
        </w:tabs>
        <w:ind w:left="1440" w:hanging="360"/>
      </w:pPr>
      <w:rPr>
        <w:rFonts w:ascii="Symbol" w:hAnsi="Symbol" w:hint="default"/>
      </w:rPr>
    </w:lvl>
    <w:lvl w:ilvl="2" w:tplc="C65EAC5E" w:tentative="1">
      <w:start w:val="1"/>
      <w:numFmt w:val="bullet"/>
      <w:lvlText w:val=""/>
      <w:lvlJc w:val="left"/>
      <w:pPr>
        <w:tabs>
          <w:tab w:val="num" w:pos="2160"/>
        </w:tabs>
        <w:ind w:left="2160" w:hanging="360"/>
      </w:pPr>
      <w:rPr>
        <w:rFonts w:ascii="Symbol" w:hAnsi="Symbol" w:hint="default"/>
      </w:rPr>
    </w:lvl>
    <w:lvl w:ilvl="3" w:tplc="3DA8D78C" w:tentative="1">
      <w:start w:val="1"/>
      <w:numFmt w:val="bullet"/>
      <w:lvlText w:val=""/>
      <w:lvlJc w:val="left"/>
      <w:pPr>
        <w:tabs>
          <w:tab w:val="num" w:pos="2880"/>
        </w:tabs>
        <w:ind w:left="2880" w:hanging="360"/>
      </w:pPr>
      <w:rPr>
        <w:rFonts w:ascii="Symbol" w:hAnsi="Symbol" w:hint="default"/>
      </w:rPr>
    </w:lvl>
    <w:lvl w:ilvl="4" w:tplc="B8066934" w:tentative="1">
      <w:start w:val="1"/>
      <w:numFmt w:val="bullet"/>
      <w:lvlText w:val=""/>
      <w:lvlJc w:val="left"/>
      <w:pPr>
        <w:tabs>
          <w:tab w:val="num" w:pos="3600"/>
        </w:tabs>
        <w:ind w:left="3600" w:hanging="360"/>
      </w:pPr>
      <w:rPr>
        <w:rFonts w:ascii="Symbol" w:hAnsi="Symbol" w:hint="default"/>
      </w:rPr>
    </w:lvl>
    <w:lvl w:ilvl="5" w:tplc="4D8E9B46" w:tentative="1">
      <w:start w:val="1"/>
      <w:numFmt w:val="bullet"/>
      <w:lvlText w:val=""/>
      <w:lvlJc w:val="left"/>
      <w:pPr>
        <w:tabs>
          <w:tab w:val="num" w:pos="4320"/>
        </w:tabs>
        <w:ind w:left="4320" w:hanging="360"/>
      </w:pPr>
      <w:rPr>
        <w:rFonts w:ascii="Symbol" w:hAnsi="Symbol" w:hint="default"/>
      </w:rPr>
    </w:lvl>
    <w:lvl w:ilvl="6" w:tplc="4D4A86CE" w:tentative="1">
      <w:start w:val="1"/>
      <w:numFmt w:val="bullet"/>
      <w:lvlText w:val=""/>
      <w:lvlJc w:val="left"/>
      <w:pPr>
        <w:tabs>
          <w:tab w:val="num" w:pos="5040"/>
        </w:tabs>
        <w:ind w:left="5040" w:hanging="360"/>
      </w:pPr>
      <w:rPr>
        <w:rFonts w:ascii="Symbol" w:hAnsi="Symbol" w:hint="default"/>
      </w:rPr>
    </w:lvl>
    <w:lvl w:ilvl="7" w:tplc="3482E01C" w:tentative="1">
      <w:start w:val="1"/>
      <w:numFmt w:val="bullet"/>
      <w:lvlText w:val=""/>
      <w:lvlJc w:val="left"/>
      <w:pPr>
        <w:tabs>
          <w:tab w:val="num" w:pos="5760"/>
        </w:tabs>
        <w:ind w:left="5760" w:hanging="360"/>
      </w:pPr>
      <w:rPr>
        <w:rFonts w:ascii="Symbol" w:hAnsi="Symbol" w:hint="default"/>
      </w:rPr>
    </w:lvl>
    <w:lvl w:ilvl="8" w:tplc="2910A412"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2E716B44"/>
    <w:multiLevelType w:val="hybridMultilevel"/>
    <w:tmpl w:val="D946D7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4" w15:restartNumberingAfterBreak="0">
    <w:nsid w:val="2E7C031B"/>
    <w:multiLevelType w:val="hybridMultilevel"/>
    <w:tmpl w:val="9530D8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2EE70C25"/>
    <w:multiLevelType w:val="multilevel"/>
    <w:tmpl w:val="3718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0D3414B"/>
    <w:multiLevelType w:val="hybridMultilevel"/>
    <w:tmpl w:val="280E1F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 w15:restartNumberingAfterBreak="0">
    <w:nsid w:val="315A7D01"/>
    <w:multiLevelType w:val="hybridMultilevel"/>
    <w:tmpl w:val="44CA71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2117DE6"/>
    <w:multiLevelType w:val="hybridMultilevel"/>
    <w:tmpl w:val="EC1C9BA6"/>
    <w:lvl w:ilvl="0" w:tplc="7CCE5088">
      <w:start w:val="8"/>
      <w:numFmt w:val="bullet"/>
      <w:lvlText w:val="-"/>
      <w:lvlJc w:val="left"/>
      <w:pPr>
        <w:ind w:left="720" w:hanging="360"/>
      </w:pPr>
      <w:rPr>
        <w:rFonts w:ascii="Arial" w:eastAsia="Times New Roman"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36D2866"/>
    <w:multiLevelType w:val="hybridMultilevel"/>
    <w:tmpl w:val="26ECB2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45D1949"/>
    <w:multiLevelType w:val="hybridMultilevel"/>
    <w:tmpl w:val="E030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71B4791"/>
    <w:multiLevelType w:val="hybridMultilevel"/>
    <w:tmpl w:val="96D4D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37684A82"/>
    <w:multiLevelType w:val="hybridMultilevel"/>
    <w:tmpl w:val="A920D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98608E7"/>
    <w:multiLevelType w:val="multilevel"/>
    <w:tmpl w:val="4794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9DC6DCD"/>
    <w:multiLevelType w:val="hybridMultilevel"/>
    <w:tmpl w:val="577E0AEE"/>
    <w:lvl w:ilvl="0" w:tplc="7B0E67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39F533FE"/>
    <w:multiLevelType w:val="hybridMultilevel"/>
    <w:tmpl w:val="9FBA50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A092178"/>
    <w:multiLevelType w:val="hybridMultilevel"/>
    <w:tmpl w:val="234EB6C4"/>
    <w:lvl w:ilvl="0" w:tplc="6038C0AC">
      <w:numFmt w:val="bullet"/>
      <w:lvlText w:val="•"/>
      <w:lvlJc w:val="left"/>
      <w:pPr>
        <w:ind w:left="705" w:hanging="705"/>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3A517F04"/>
    <w:multiLevelType w:val="hybridMultilevel"/>
    <w:tmpl w:val="1EC6FEE8"/>
    <w:lvl w:ilvl="0" w:tplc="C0D6457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A992C99"/>
    <w:multiLevelType w:val="hybridMultilevel"/>
    <w:tmpl w:val="122CAA1A"/>
    <w:lvl w:ilvl="0" w:tplc="791EFC3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3AC83C78"/>
    <w:multiLevelType w:val="hybridMultilevel"/>
    <w:tmpl w:val="E7E835EC"/>
    <w:lvl w:ilvl="0" w:tplc="6B16AAF6">
      <w:start w:val="1"/>
      <w:numFmt w:val="decimal"/>
      <w:lvlText w:val="%1)"/>
      <w:lvlJc w:val="left"/>
      <w:pPr>
        <w:ind w:left="720" w:hanging="360"/>
      </w:pPr>
      <w:rPr>
        <w:rFonts w:hint="default"/>
      </w:rPr>
    </w:lvl>
    <w:lvl w:ilvl="1" w:tplc="11E84DB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CDE330F"/>
    <w:multiLevelType w:val="hybridMultilevel"/>
    <w:tmpl w:val="FFFFFFFF"/>
    <w:lvl w:ilvl="0" w:tplc="6A4C51F0">
      <w:start w:val="1"/>
      <w:numFmt w:val="bullet"/>
      <w:lvlText w:val="-"/>
      <w:lvlJc w:val="left"/>
      <w:pPr>
        <w:ind w:left="720" w:hanging="360"/>
      </w:pPr>
      <w:rPr>
        <w:rFonts w:ascii="&quot;Calibri&quot;,sans-serif" w:hAnsi="&quot;Calibri&quot;,sans-serif" w:hint="default"/>
      </w:rPr>
    </w:lvl>
    <w:lvl w:ilvl="1" w:tplc="BA68C7E2">
      <w:start w:val="1"/>
      <w:numFmt w:val="bullet"/>
      <w:lvlText w:val="o"/>
      <w:lvlJc w:val="left"/>
      <w:pPr>
        <w:ind w:left="1440" w:hanging="360"/>
      </w:pPr>
      <w:rPr>
        <w:rFonts w:ascii="Courier New" w:hAnsi="Courier New" w:hint="default"/>
      </w:rPr>
    </w:lvl>
    <w:lvl w:ilvl="2" w:tplc="CB7CE9D8">
      <w:start w:val="1"/>
      <w:numFmt w:val="bullet"/>
      <w:lvlText w:val=""/>
      <w:lvlJc w:val="left"/>
      <w:pPr>
        <w:ind w:left="2160" w:hanging="360"/>
      </w:pPr>
      <w:rPr>
        <w:rFonts w:ascii="Wingdings" w:hAnsi="Wingdings" w:hint="default"/>
      </w:rPr>
    </w:lvl>
    <w:lvl w:ilvl="3" w:tplc="B94C26C6">
      <w:start w:val="1"/>
      <w:numFmt w:val="bullet"/>
      <w:lvlText w:val=""/>
      <w:lvlJc w:val="left"/>
      <w:pPr>
        <w:ind w:left="2880" w:hanging="360"/>
      </w:pPr>
      <w:rPr>
        <w:rFonts w:ascii="Symbol" w:hAnsi="Symbol" w:hint="default"/>
      </w:rPr>
    </w:lvl>
    <w:lvl w:ilvl="4" w:tplc="DCE247E8">
      <w:start w:val="1"/>
      <w:numFmt w:val="bullet"/>
      <w:lvlText w:val="o"/>
      <w:lvlJc w:val="left"/>
      <w:pPr>
        <w:ind w:left="3600" w:hanging="360"/>
      </w:pPr>
      <w:rPr>
        <w:rFonts w:ascii="Courier New" w:hAnsi="Courier New" w:hint="default"/>
      </w:rPr>
    </w:lvl>
    <w:lvl w:ilvl="5" w:tplc="E6CEFD2A">
      <w:start w:val="1"/>
      <w:numFmt w:val="bullet"/>
      <w:lvlText w:val=""/>
      <w:lvlJc w:val="left"/>
      <w:pPr>
        <w:ind w:left="4320" w:hanging="360"/>
      </w:pPr>
      <w:rPr>
        <w:rFonts w:ascii="Wingdings" w:hAnsi="Wingdings" w:hint="default"/>
      </w:rPr>
    </w:lvl>
    <w:lvl w:ilvl="6" w:tplc="F288007E">
      <w:start w:val="1"/>
      <w:numFmt w:val="bullet"/>
      <w:lvlText w:val=""/>
      <w:lvlJc w:val="left"/>
      <w:pPr>
        <w:ind w:left="5040" w:hanging="360"/>
      </w:pPr>
      <w:rPr>
        <w:rFonts w:ascii="Symbol" w:hAnsi="Symbol" w:hint="default"/>
      </w:rPr>
    </w:lvl>
    <w:lvl w:ilvl="7" w:tplc="2402E47C">
      <w:start w:val="1"/>
      <w:numFmt w:val="bullet"/>
      <w:lvlText w:val="o"/>
      <w:lvlJc w:val="left"/>
      <w:pPr>
        <w:ind w:left="5760" w:hanging="360"/>
      </w:pPr>
      <w:rPr>
        <w:rFonts w:ascii="Courier New" w:hAnsi="Courier New" w:hint="default"/>
      </w:rPr>
    </w:lvl>
    <w:lvl w:ilvl="8" w:tplc="E3D06708">
      <w:start w:val="1"/>
      <w:numFmt w:val="bullet"/>
      <w:lvlText w:val=""/>
      <w:lvlJc w:val="left"/>
      <w:pPr>
        <w:ind w:left="6480" w:hanging="360"/>
      </w:pPr>
      <w:rPr>
        <w:rFonts w:ascii="Wingdings" w:hAnsi="Wingdings" w:hint="default"/>
      </w:rPr>
    </w:lvl>
  </w:abstractNum>
  <w:abstractNum w:abstractNumId="81" w15:restartNumberingAfterBreak="0">
    <w:nsid w:val="3D6B71F2"/>
    <w:multiLevelType w:val="hybridMultilevel"/>
    <w:tmpl w:val="3D3ECE12"/>
    <w:lvl w:ilvl="0" w:tplc="2522D5A0">
      <w:start w:val="1"/>
      <w:numFmt w:val="bullet"/>
      <w:lvlText w:val=""/>
      <w:lvlJc w:val="left"/>
      <w:pPr>
        <w:tabs>
          <w:tab w:val="num" w:pos="720"/>
        </w:tabs>
        <w:ind w:left="720" w:hanging="360"/>
      </w:pPr>
      <w:rPr>
        <w:rFonts w:ascii="Symbol" w:hAnsi="Symbol" w:hint="default"/>
      </w:rPr>
    </w:lvl>
    <w:lvl w:ilvl="1" w:tplc="E9F057F6">
      <w:start w:val="1"/>
      <w:numFmt w:val="bullet"/>
      <w:lvlText w:val=""/>
      <w:lvlJc w:val="left"/>
      <w:pPr>
        <w:tabs>
          <w:tab w:val="num" w:pos="1440"/>
        </w:tabs>
        <w:ind w:left="1440" w:hanging="360"/>
      </w:pPr>
      <w:rPr>
        <w:rFonts w:ascii="Symbol" w:hAnsi="Symbol" w:hint="default"/>
      </w:rPr>
    </w:lvl>
    <w:lvl w:ilvl="2" w:tplc="FF5E3CFE" w:tentative="1">
      <w:start w:val="1"/>
      <w:numFmt w:val="bullet"/>
      <w:lvlText w:val=""/>
      <w:lvlJc w:val="left"/>
      <w:pPr>
        <w:tabs>
          <w:tab w:val="num" w:pos="2160"/>
        </w:tabs>
        <w:ind w:left="2160" w:hanging="360"/>
      </w:pPr>
      <w:rPr>
        <w:rFonts w:ascii="Symbol" w:hAnsi="Symbol" w:hint="default"/>
      </w:rPr>
    </w:lvl>
    <w:lvl w:ilvl="3" w:tplc="46BADE4A" w:tentative="1">
      <w:start w:val="1"/>
      <w:numFmt w:val="bullet"/>
      <w:lvlText w:val=""/>
      <w:lvlJc w:val="left"/>
      <w:pPr>
        <w:tabs>
          <w:tab w:val="num" w:pos="2880"/>
        </w:tabs>
        <w:ind w:left="2880" w:hanging="360"/>
      </w:pPr>
      <w:rPr>
        <w:rFonts w:ascii="Symbol" w:hAnsi="Symbol" w:hint="default"/>
      </w:rPr>
    </w:lvl>
    <w:lvl w:ilvl="4" w:tplc="73D8836A" w:tentative="1">
      <w:start w:val="1"/>
      <w:numFmt w:val="bullet"/>
      <w:lvlText w:val=""/>
      <w:lvlJc w:val="left"/>
      <w:pPr>
        <w:tabs>
          <w:tab w:val="num" w:pos="3600"/>
        </w:tabs>
        <w:ind w:left="3600" w:hanging="360"/>
      </w:pPr>
      <w:rPr>
        <w:rFonts w:ascii="Symbol" w:hAnsi="Symbol" w:hint="default"/>
      </w:rPr>
    </w:lvl>
    <w:lvl w:ilvl="5" w:tplc="F4A63F66" w:tentative="1">
      <w:start w:val="1"/>
      <w:numFmt w:val="bullet"/>
      <w:lvlText w:val=""/>
      <w:lvlJc w:val="left"/>
      <w:pPr>
        <w:tabs>
          <w:tab w:val="num" w:pos="4320"/>
        </w:tabs>
        <w:ind w:left="4320" w:hanging="360"/>
      </w:pPr>
      <w:rPr>
        <w:rFonts w:ascii="Symbol" w:hAnsi="Symbol" w:hint="default"/>
      </w:rPr>
    </w:lvl>
    <w:lvl w:ilvl="6" w:tplc="A5509604" w:tentative="1">
      <w:start w:val="1"/>
      <w:numFmt w:val="bullet"/>
      <w:lvlText w:val=""/>
      <w:lvlJc w:val="left"/>
      <w:pPr>
        <w:tabs>
          <w:tab w:val="num" w:pos="5040"/>
        </w:tabs>
        <w:ind w:left="5040" w:hanging="360"/>
      </w:pPr>
      <w:rPr>
        <w:rFonts w:ascii="Symbol" w:hAnsi="Symbol" w:hint="default"/>
      </w:rPr>
    </w:lvl>
    <w:lvl w:ilvl="7" w:tplc="92486B12" w:tentative="1">
      <w:start w:val="1"/>
      <w:numFmt w:val="bullet"/>
      <w:lvlText w:val=""/>
      <w:lvlJc w:val="left"/>
      <w:pPr>
        <w:tabs>
          <w:tab w:val="num" w:pos="5760"/>
        </w:tabs>
        <w:ind w:left="5760" w:hanging="360"/>
      </w:pPr>
      <w:rPr>
        <w:rFonts w:ascii="Symbol" w:hAnsi="Symbol" w:hint="default"/>
      </w:rPr>
    </w:lvl>
    <w:lvl w:ilvl="8" w:tplc="1C58E27E"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3E5F02D8"/>
    <w:multiLevelType w:val="hybridMultilevel"/>
    <w:tmpl w:val="9AC02B3E"/>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83" w15:restartNumberingAfterBreak="0">
    <w:nsid w:val="3EC71C50"/>
    <w:multiLevelType w:val="hybridMultilevel"/>
    <w:tmpl w:val="9E523C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40437C14"/>
    <w:multiLevelType w:val="hybridMultilevel"/>
    <w:tmpl w:val="CB421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0692E2F"/>
    <w:multiLevelType w:val="hybridMultilevel"/>
    <w:tmpl w:val="D7F0C83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6" w15:restartNumberingAfterBreak="0">
    <w:nsid w:val="409B3AB2"/>
    <w:multiLevelType w:val="multilevel"/>
    <w:tmpl w:val="EAAC85FE"/>
    <w:lvl w:ilvl="0">
      <w:start w:val="1"/>
      <w:numFmt w:val="decimal"/>
      <w:lvlText w:val="%1."/>
      <w:lvlJc w:val="left"/>
      <w:pPr>
        <w:ind w:left="927" w:hanging="360"/>
      </w:pPr>
      <w:rPr>
        <w:rFonts w:hint="default"/>
      </w:rPr>
    </w:lvl>
    <w:lvl w:ilvl="1">
      <w:start w:val="1"/>
      <w:numFmt w:val="decimal"/>
      <w:pStyle w:val="Nadpis2"/>
      <w:suff w:val="space"/>
      <w:lvlText w:val="%1.%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sz w:val="32"/>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87" w15:restartNumberingAfterBreak="0">
    <w:nsid w:val="417D0774"/>
    <w:multiLevelType w:val="hybridMultilevel"/>
    <w:tmpl w:val="BF9662F6"/>
    <w:lvl w:ilvl="0" w:tplc="B7E661A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D10592"/>
    <w:multiLevelType w:val="hybridMultilevel"/>
    <w:tmpl w:val="B66A9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42D2363A"/>
    <w:multiLevelType w:val="multilevel"/>
    <w:tmpl w:val="0D92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4047D0E"/>
    <w:multiLevelType w:val="multilevel"/>
    <w:tmpl w:val="B5C8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44A5904C"/>
    <w:multiLevelType w:val="hybridMultilevel"/>
    <w:tmpl w:val="EC0E9A2E"/>
    <w:lvl w:ilvl="0" w:tplc="67909980">
      <w:start w:val="1"/>
      <w:numFmt w:val="bullet"/>
      <w:lvlText w:val=""/>
      <w:lvlJc w:val="left"/>
      <w:pPr>
        <w:ind w:left="720" w:hanging="360"/>
      </w:pPr>
      <w:rPr>
        <w:rFonts w:ascii="Symbol" w:hAnsi="Symbol" w:hint="default"/>
      </w:rPr>
    </w:lvl>
    <w:lvl w:ilvl="1" w:tplc="2F4850F4">
      <w:start w:val="1"/>
      <w:numFmt w:val="bullet"/>
      <w:lvlText w:val="o"/>
      <w:lvlJc w:val="left"/>
      <w:pPr>
        <w:ind w:left="1440" w:hanging="360"/>
      </w:pPr>
      <w:rPr>
        <w:rFonts w:ascii="&quot;Courier New&quot;" w:hAnsi="&quot;Courier New&quot;" w:hint="default"/>
      </w:rPr>
    </w:lvl>
    <w:lvl w:ilvl="2" w:tplc="2FD2D852">
      <w:start w:val="1"/>
      <w:numFmt w:val="bullet"/>
      <w:lvlText w:val=""/>
      <w:lvlJc w:val="left"/>
      <w:pPr>
        <w:ind w:left="2160" w:hanging="360"/>
      </w:pPr>
      <w:rPr>
        <w:rFonts w:ascii="Wingdings" w:hAnsi="Wingdings" w:hint="default"/>
      </w:rPr>
    </w:lvl>
    <w:lvl w:ilvl="3" w:tplc="5B7E8302">
      <w:start w:val="1"/>
      <w:numFmt w:val="bullet"/>
      <w:lvlText w:val=""/>
      <w:lvlJc w:val="left"/>
      <w:pPr>
        <w:ind w:left="2880" w:hanging="360"/>
      </w:pPr>
      <w:rPr>
        <w:rFonts w:ascii="Symbol" w:hAnsi="Symbol" w:hint="default"/>
      </w:rPr>
    </w:lvl>
    <w:lvl w:ilvl="4" w:tplc="46083380">
      <w:start w:val="1"/>
      <w:numFmt w:val="bullet"/>
      <w:lvlText w:val="o"/>
      <w:lvlJc w:val="left"/>
      <w:pPr>
        <w:ind w:left="3600" w:hanging="360"/>
      </w:pPr>
      <w:rPr>
        <w:rFonts w:ascii="Courier New" w:hAnsi="Courier New" w:hint="default"/>
      </w:rPr>
    </w:lvl>
    <w:lvl w:ilvl="5" w:tplc="234681B0">
      <w:start w:val="1"/>
      <w:numFmt w:val="bullet"/>
      <w:lvlText w:val=""/>
      <w:lvlJc w:val="left"/>
      <w:pPr>
        <w:ind w:left="4320" w:hanging="360"/>
      </w:pPr>
      <w:rPr>
        <w:rFonts w:ascii="Wingdings" w:hAnsi="Wingdings" w:hint="default"/>
      </w:rPr>
    </w:lvl>
    <w:lvl w:ilvl="6" w:tplc="D4CAE444">
      <w:start w:val="1"/>
      <w:numFmt w:val="bullet"/>
      <w:lvlText w:val=""/>
      <w:lvlJc w:val="left"/>
      <w:pPr>
        <w:ind w:left="5040" w:hanging="360"/>
      </w:pPr>
      <w:rPr>
        <w:rFonts w:ascii="Symbol" w:hAnsi="Symbol" w:hint="default"/>
      </w:rPr>
    </w:lvl>
    <w:lvl w:ilvl="7" w:tplc="8CAE6CC4">
      <w:start w:val="1"/>
      <w:numFmt w:val="bullet"/>
      <w:lvlText w:val="o"/>
      <w:lvlJc w:val="left"/>
      <w:pPr>
        <w:ind w:left="5760" w:hanging="360"/>
      </w:pPr>
      <w:rPr>
        <w:rFonts w:ascii="Courier New" w:hAnsi="Courier New" w:hint="default"/>
      </w:rPr>
    </w:lvl>
    <w:lvl w:ilvl="8" w:tplc="07047D2E">
      <w:start w:val="1"/>
      <w:numFmt w:val="bullet"/>
      <w:lvlText w:val=""/>
      <w:lvlJc w:val="left"/>
      <w:pPr>
        <w:ind w:left="6480" w:hanging="360"/>
      </w:pPr>
      <w:rPr>
        <w:rFonts w:ascii="Wingdings" w:hAnsi="Wingdings" w:hint="default"/>
      </w:rPr>
    </w:lvl>
  </w:abstractNum>
  <w:abstractNum w:abstractNumId="92" w15:restartNumberingAfterBreak="0">
    <w:nsid w:val="456A44D9"/>
    <w:multiLevelType w:val="multilevel"/>
    <w:tmpl w:val="EF0E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72921FB"/>
    <w:multiLevelType w:val="multilevel"/>
    <w:tmpl w:val="86B8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78B6C84"/>
    <w:multiLevelType w:val="hybridMultilevel"/>
    <w:tmpl w:val="850EE9A2"/>
    <w:lvl w:ilvl="0" w:tplc="30522E5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8465811"/>
    <w:multiLevelType w:val="hybridMultilevel"/>
    <w:tmpl w:val="6AB870AC"/>
    <w:lvl w:ilvl="0" w:tplc="0405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4B925C42"/>
    <w:multiLevelType w:val="multilevel"/>
    <w:tmpl w:val="1A9A06F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b/>
        <w:i w:val="0"/>
        <w:sz w:val="24"/>
      </w:rPr>
    </w:lvl>
    <w:lvl w:ilvl="2">
      <w:start w:val="1"/>
      <w:numFmt w:val="decimal"/>
      <w:lvlText w:val="%1.%2.%3."/>
      <w:lvlJc w:val="left"/>
      <w:pPr>
        <w:ind w:left="1224" w:hanging="504"/>
      </w:pPr>
      <w:rPr>
        <w:rFonts w:hint="default"/>
        <w:b/>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C2316C7"/>
    <w:multiLevelType w:val="multilevel"/>
    <w:tmpl w:val="0405001F"/>
    <w:lvl w:ilvl="0">
      <w:start w:val="1"/>
      <w:numFmt w:val="decimal"/>
      <w:lvlText w:val="%1."/>
      <w:lvlJc w:val="left"/>
      <w:pPr>
        <w:ind w:left="360" w:hanging="360"/>
      </w:p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D5039D3"/>
    <w:multiLevelType w:val="hybridMultilevel"/>
    <w:tmpl w:val="0D8053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9" w15:restartNumberingAfterBreak="0">
    <w:nsid w:val="4ECB79E4"/>
    <w:multiLevelType w:val="hybridMultilevel"/>
    <w:tmpl w:val="C62C2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4FD27653"/>
    <w:multiLevelType w:val="hybridMultilevel"/>
    <w:tmpl w:val="3190EE78"/>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250" w:hanging="360"/>
      </w:pPr>
      <w:rPr>
        <w:rFonts w:ascii="Courier New" w:hAnsi="Courier New" w:cs="Courier New" w:hint="default"/>
      </w:rPr>
    </w:lvl>
    <w:lvl w:ilvl="2" w:tplc="04050005" w:tentative="1">
      <w:start w:val="1"/>
      <w:numFmt w:val="bullet"/>
      <w:lvlText w:val=""/>
      <w:lvlJc w:val="left"/>
      <w:pPr>
        <w:ind w:left="1970" w:hanging="360"/>
      </w:pPr>
      <w:rPr>
        <w:rFonts w:ascii="Wingdings" w:hAnsi="Wingdings" w:hint="default"/>
      </w:rPr>
    </w:lvl>
    <w:lvl w:ilvl="3" w:tplc="04050001" w:tentative="1">
      <w:start w:val="1"/>
      <w:numFmt w:val="bullet"/>
      <w:lvlText w:val=""/>
      <w:lvlJc w:val="left"/>
      <w:pPr>
        <w:ind w:left="2690" w:hanging="360"/>
      </w:pPr>
      <w:rPr>
        <w:rFonts w:ascii="Symbol" w:hAnsi="Symbol" w:hint="default"/>
      </w:rPr>
    </w:lvl>
    <w:lvl w:ilvl="4" w:tplc="04050003" w:tentative="1">
      <w:start w:val="1"/>
      <w:numFmt w:val="bullet"/>
      <w:lvlText w:val="o"/>
      <w:lvlJc w:val="left"/>
      <w:pPr>
        <w:ind w:left="3410" w:hanging="360"/>
      </w:pPr>
      <w:rPr>
        <w:rFonts w:ascii="Courier New" w:hAnsi="Courier New" w:cs="Courier New" w:hint="default"/>
      </w:rPr>
    </w:lvl>
    <w:lvl w:ilvl="5" w:tplc="04050005" w:tentative="1">
      <w:start w:val="1"/>
      <w:numFmt w:val="bullet"/>
      <w:lvlText w:val=""/>
      <w:lvlJc w:val="left"/>
      <w:pPr>
        <w:ind w:left="4130" w:hanging="360"/>
      </w:pPr>
      <w:rPr>
        <w:rFonts w:ascii="Wingdings" w:hAnsi="Wingdings" w:hint="default"/>
      </w:rPr>
    </w:lvl>
    <w:lvl w:ilvl="6" w:tplc="04050001" w:tentative="1">
      <w:start w:val="1"/>
      <w:numFmt w:val="bullet"/>
      <w:lvlText w:val=""/>
      <w:lvlJc w:val="left"/>
      <w:pPr>
        <w:ind w:left="4850" w:hanging="360"/>
      </w:pPr>
      <w:rPr>
        <w:rFonts w:ascii="Symbol" w:hAnsi="Symbol" w:hint="default"/>
      </w:rPr>
    </w:lvl>
    <w:lvl w:ilvl="7" w:tplc="04050003" w:tentative="1">
      <w:start w:val="1"/>
      <w:numFmt w:val="bullet"/>
      <w:lvlText w:val="o"/>
      <w:lvlJc w:val="left"/>
      <w:pPr>
        <w:ind w:left="5570" w:hanging="360"/>
      </w:pPr>
      <w:rPr>
        <w:rFonts w:ascii="Courier New" w:hAnsi="Courier New" w:cs="Courier New" w:hint="default"/>
      </w:rPr>
    </w:lvl>
    <w:lvl w:ilvl="8" w:tplc="04050005" w:tentative="1">
      <w:start w:val="1"/>
      <w:numFmt w:val="bullet"/>
      <w:lvlText w:val=""/>
      <w:lvlJc w:val="left"/>
      <w:pPr>
        <w:ind w:left="6290" w:hanging="360"/>
      </w:pPr>
      <w:rPr>
        <w:rFonts w:ascii="Wingdings" w:hAnsi="Wingdings" w:hint="default"/>
      </w:rPr>
    </w:lvl>
  </w:abstractNum>
  <w:abstractNum w:abstractNumId="101" w15:restartNumberingAfterBreak="0">
    <w:nsid w:val="513B04CF"/>
    <w:multiLevelType w:val="hybridMultilevel"/>
    <w:tmpl w:val="5052B2EE"/>
    <w:lvl w:ilvl="0" w:tplc="E4CE784C">
      <w:start w:val="1"/>
      <w:numFmt w:val="bullet"/>
      <w:lvlText w:val=""/>
      <w:lvlJc w:val="left"/>
      <w:pPr>
        <w:tabs>
          <w:tab w:val="num" w:pos="720"/>
        </w:tabs>
        <w:ind w:left="720" w:hanging="360"/>
      </w:pPr>
      <w:rPr>
        <w:rFonts w:ascii="Symbol" w:hAnsi="Symbol" w:hint="default"/>
      </w:rPr>
    </w:lvl>
    <w:lvl w:ilvl="1" w:tplc="77FA3FA8">
      <w:start w:val="1"/>
      <w:numFmt w:val="bullet"/>
      <w:lvlText w:val=""/>
      <w:lvlJc w:val="left"/>
      <w:pPr>
        <w:tabs>
          <w:tab w:val="num" w:pos="1440"/>
        </w:tabs>
        <w:ind w:left="1440" w:hanging="360"/>
      </w:pPr>
      <w:rPr>
        <w:rFonts w:ascii="Symbol" w:hAnsi="Symbol" w:hint="default"/>
      </w:rPr>
    </w:lvl>
    <w:lvl w:ilvl="2" w:tplc="95B4C520" w:tentative="1">
      <w:start w:val="1"/>
      <w:numFmt w:val="bullet"/>
      <w:lvlText w:val=""/>
      <w:lvlJc w:val="left"/>
      <w:pPr>
        <w:tabs>
          <w:tab w:val="num" w:pos="2160"/>
        </w:tabs>
        <w:ind w:left="2160" w:hanging="360"/>
      </w:pPr>
      <w:rPr>
        <w:rFonts w:ascii="Symbol" w:hAnsi="Symbol" w:hint="default"/>
      </w:rPr>
    </w:lvl>
    <w:lvl w:ilvl="3" w:tplc="04069482" w:tentative="1">
      <w:start w:val="1"/>
      <w:numFmt w:val="bullet"/>
      <w:lvlText w:val=""/>
      <w:lvlJc w:val="left"/>
      <w:pPr>
        <w:tabs>
          <w:tab w:val="num" w:pos="2880"/>
        </w:tabs>
        <w:ind w:left="2880" w:hanging="360"/>
      </w:pPr>
      <w:rPr>
        <w:rFonts w:ascii="Symbol" w:hAnsi="Symbol" w:hint="default"/>
      </w:rPr>
    </w:lvl>
    <w:lvl w:ilvl="4" w:tplc="A5F061DC" w:tentative="1">
      <w:start w:val="1"/>
      <w:numFmt w:val="bullet"/>
      <w:lvlText w:val=""/>
      <w:lvlJc w:val="left"/>
      <w:pPr>
        <w:tabs>
          <w:tab w:val="num" w:pos="3600"/>
        </w:tabs>
        <w:ind w:left="3600" w:hanging="360"/>
      </w:pPr>
      <w:rPr>
        <w:rFonts w:ascii="Symbol" w:hAnsi="Symbol" w:hint="default"/>
      </w:rPr>
    </w:lvl>
    <w:lvl w:ilvl="5" w:tplc="CDF61300" w:tentative="1">
      <w:start w:val="1"/>
      <w:numFmt w:val="bullet"/>
      <w:lvlText w:val=""/>
      <w:lvlJc w:val="left"/>
      <w:pPr>
        <w:tabs>
          <w:tab w:val="num" w:pos="4320"/>
        </w:tabs>
        <w:ind w:left="4320" w:hanging="360"/>
      </w:pPr>
      <w:rPr>
        <w:rFonts w:ascii="Symbol" w:hAnsi="Symbol" w:hint="default"/>
      </w:rPr>
    </w:lvl>
    <w:lvl w:ilvl="6" w:tplc="5352F3E4" w:tentative="1">
      <w:start w:val="1"/>
      <w:numFmt w:val="bullet"/>
      <w:lvlText w:val=""/>
      <w:lvlJc w:val="left"/>
      <w:pPr>
        <w:tabs>
          <w:tab w:val="num" w:pos="5040"/>
        </w:tabs>
        <w:ind w:left="5040" w:hanging="360"/>
      </w:pPr>
      <w:rPr>
        <w:rFonts w:ascii="Symbol" w:hAnsi="Symbol" w:hint="default"/>
      </w:rPr>
    </w:lvl>
    <w:lvl w:ilvl="7" w:tplc="0F5A6908" w:tentative="1">
      <w:start w:val="1"/>
      <w:numFmt w:val="bullet"/>
      <w:lvlText w:val=""/>
      <w:lvlJc w:val="left"/>
      <w:pPr>
        <w:tabs>
          <w:tab w:val="num" w:pos="5760"/>
        </w:tabs>
        <w:ind w:left="5760" w:hanging="360"/>
      </w:pPr>
      <w:rPr>
        <w:rFonts w:ascii="Symbol" w:hAnsi="Symbol" w:hint="default"/>
      </w:rPr>
    </w:lvl>
    <w:lvl w:ilvl="8" w:tplc="DAB61F1E" w:tentative="1">
      <w:start w:val="1"/>
      <w:numFmt w:val="bullet"/>
      <w:lvlText w:val=""/>
      <w:lvlJc w:val="left"/>
      <w:pPr>
        <w:tabs>
          <w:tab w:val="num" w:pos="6480"/>
        </w:tabs>
        <w:ind w:left="6480" w:hanging="360"/>
      </w:pPr>
      <w:rPr>
        <w:rFonts w:ascii="Symbol" w:hAnsi="Symbol" w:hint="default"/>
      </w:rPr>
    </w:lvl>
  </w:abstractNum>
  <w:abstractNum w:abstractNumId="102" w15:restartNumberingAfterBreak="0">
    <w:nsid w:val="515C74F6"/>
    <w:multiLevelType w:val="hybridMultilevel"/>
    <w:tmpl w:val="6316D9D8"/>
    <w:lvl w:ilvl="0" w:tplc="948AFC44">
      <w:start w:val="1"/>
      <w:numFmt w:val="bullet"/>
      <w:lvlText w:val=""/>
      <w:lvlJc w:val="left"/>
      <w:pPr>
        <w:ind w:left="1143" w:hanging="360"/>
      </w:pPr>
      <w:rPr>
        <w:rFonts w:ascii="Symbol" w:hAnsi="Symbol" w:hint="default"/>
      </w:rPr>
    </w:lvl>
    <w:lvl w:ilvl="1" w:tplc="FFFFFFFF" w:tentative="1">
      <w:start w:val="1"/>
      <w:numFmt w:val="bullet"/>
      <w:lvlText w:val="o"/>
      <w:lvlJc w:val="left"/>
      <w:pPr>
        <w:ind w:left="1863" w:hanging="360"/>
      </w:pPr>
      <w:rPr>
        <w:rFonts w:ascii="Courier New" w:hAnsi="Courier New" w:cs="Courier New" w:hint="default"/>
      </w:rPr>
    </w:lvl>
    <w:lvl w:ilvl="2" w:tplc="FFFFFFFF" w:tentative="1">
      <w:start w:val="1"/>
      <w:numFmt w:val="bullet"/>
      <w:lvlText w:val=""/>
      <w:lvlJc w:val="left"/>
      <w:pPr>
        <w:ind w:left="2583" w:hanging="360"/>
      </w:pPr>
      <w:rPr>
        <w:rFonts w:ascii="Wingdings" w:hAnsi="Wingdings" w:hint="default"/>
      </w:rPr>
    </w:lvl>
    <w:lvl w:ilvl="3" w:tplc="FFFFFFFF" w:tentative="1">
      <w:start w:val="1"/>
      <w:numFmt w:val="bullet"/>
      <w:lvlText w:val=""/>
      <w:lvlJc w:val="left"/>
      <w:pPr>
        <w:ind w:left="3303" w:hanging="360"/>
      </w:pPr>
      <w:rPr>
        <w:rFonts w:ascii="Symbol" w:hAnsi="Symbol" w:hint="default"/>
      </w:rPr>
    </w:lvl>
    <w:lvl w:ilvl="4" w:tplc="FFFFFFFF" w:tentative="1">
      <w:start w:val="1"/>
      <w:numFmt w:val="bullet"/>
      <w:lvlText w:val="o"/>
      <w:lvlJc w:val="left"/>
      <w:pPr>
        <w:ind w:left="4023" w:hanging="360"/>
      </w:pPr>
      <w:rPr>
        <w:rFonts w:ascii="Courier New" w:hAnsi="Courier New" w:cs="Courier New" w:hint="default"/>
      </w:rPr>
    </w:lvl>
    <w:lvl w:ilvl="5" w:tplc="FFFFFFFF" w:tentative="1">
      <w:start w:val="1"/>
      <w:numFmt w:val="bullet"/>
      <w:lvlText w:val=""/>
      <w:lvlJc w:val="left"/>
      <w:pPr>
        <w:ind w:left="4743" w:hanging="360"/>
      </w:pPr>
      <w:rPr>
        <w:rFonts w:ascii="Wingdings" w:hAnsi="Wingdings" w:hint="default"/>
      </w:rPr>
    </w:lvl>
    <w:lvl w:ilvl="6" w:tplc="FFFFFFFF" w:tentative="1">
      <w:start w:val="1"/>
      <w:numFmt w:val="bullet"/>
      <w:lvlText w:val=""/>
      <w:lvlJc w:val="left"/>
      <w:pPr>
        <w:ind w:left="5463" w:hanging="360"/>
      </w:pPr>
      <w:rPr>
        <w:rFonts w:ascii="Symbol" w:hAnsi="Symbol" w:hint="default"/>
      </w:rPr>
    </w:lvl>
    <w:lvl w:ilvl="7" w:tplc="FFFFFFFF" w:tentative="1">
      <w:start w:val="1"/>
      <w:numFmt w:val="bullet"/>
      <w:lvlText w:val="o"/>
      <w:lvlJc w:val="left"/>
      <w:pPr>
        <w:ind w:left="6183" w:hanging="360"/>
      </w:pPr>
      <w:rPr>
        <w:rFonts w:ascii="Courier New" w:hAnsi="Courier New" w:cs="Courier New" w:hint="default"/>
      </w:rPr>
    </w:lvl>
    <w:lvl w:ilvl="8" w:tplc="FFFFFFFF" w:tentative="1">
      <w:start w:val="1"/>
      <w:numFmt w:val="bullet"/>
      <w:lvlText w:val=""/>
      <w:lvlJc w:val="left"/>
      <w:pPr>
        <w:ind w:left="6903" w:hanging="360"/>
      </w:pPr>
      <w:rPr>
        <w:rFonts w:ascii="Wingdings" w:hAnsi="Wingdings" w:hint="default"/>
      </w:rPr>
    </w:lvl>
  </w:abstractNum>
  <w:abstractNum w:abstractNumId="103" w15:restartNumberingAfterBreak="0">
    <w:nsid w:val="51F26F75"/>
    <w:multiLevelType w:val="hybridMultilevel"/>
    <w:tmpl w:val="71AAFF04"/>
    <w:lvl w:ilvl="0" w:tplc="64FED3FA">
      <w:start w:val="1"/>
      <w:numFmt w:val="bullet"/>
      <w:pStyle w:val="Bullet1"/>
      <w:lvlText w:val=""/>
      <w:lvlJc w:val="left"/>
      <w:pPr>
        <w:tabs>
          <w:tab w:val="num" w:pos="539"/>
        </w:tabs>
        <w:ind w:left="539" w:hanging="397"/>
      </w:pPr>
      <w:rPr>
        <w:rFonts w:ascii="Symbol" w:hAnsi="Symbol" w:hint="default"/>
      </w:rPr>
    </w:lvl>
    <w:lvl w:ilvl="1" w:tplc="04050003">
      <w:start w:val="1"/>
      <w:numFmt w:val="bullet"/>
      <w:lvlText w:val="o"/>
      <w:lvlJc w:val="left"/>
      <w:pPr>
        <w:tabs>
          <w:tab w:val="num" w:pos="1412"/>
        </w:tabs>
        <w:ind w:left="1412" w:hanging="360"/>
      </w:pPr>
      <w:rPr>
        <w:rFonts w:ascii="Courier New" w:hAnsi="Courier New" w:hint="default"/>
      </w:rPr>
    </w:lvl>
    <w:lvl w:ilvl="2" w:tplc="04050005" w:tentative="1">
      <w:start w:val="1"/>
      <w:numFmt w:val="bullet"/>
      <w:lvlText w:val=""/>
      <w:lvlJc w:val="left"/>
      <w:pPr>
        <w:tabs>
          <w:tab w:val="num" w:pos="2132"/>
        </w:tabs>
        <w:ind w:left="2132" w:hanging="360"/>
      </w:pPr>
      <w:rPr>
        <w:rFonts w:ascii="Wingdings" w:hAnsi="Wingdings" w:hint="default"/>
      </w:rPr>
    </w:lvl>
    <w:lvl w:ilvl="3" w:tplc="04050001" w:tentative="1">
      <w:start w:val="1"/>
      <w:numFmt w:val="bullet"/>
      <w:lvlText w:val=""/>
      <w:lvlJc w:val="left"/>
      <w:pPr>
        <w:tabs>
          <w:tab w:val="num" w:pos="2852"/>
        </w:tabs>
        <w:ind w:left="2852" w:hanging="360"/>
      </w:pPr>
      <w:rPr>
        <w:rFonts w:ascii="Symbol" w:hAnsi="Symbol" w:hint="default"/>
      </w:rPr>
    </w:lvl>
    <w:lvl w:ilvl="4" w:tplc="04050003" w:tentative="1">
      <w:start w:val="1"/>
      <w:numFmt w:val="bullet"/>
      <w:lvlText w:val="o"/>
      <w:lvlJc w:val="left"/>
      <w:pPr>
        <w:tabs>
          <w:tab w:val="num" w:pos="3572"/>
        </w:tabs>
        <w:ind w:left="3572" w:hanging="360"/>
      </w:pPr>
      <w:rPr>
        <w:rFonts w:ascii="Courier New" w:hAnsi="Courier New" w:hint="default"/>
      </w:rPr>
    </w:lvl>
    <w:lvl w:ilvl="5" w:tplc="04050005" w:tentative="1">
      <w:start w:val="1"/>
      <w:numFmt w:val="bullet"/>
      <w:lvlText w:val=""/>
      <w:lvlJc w:val="left"/>
      <w:pPr>
        <w:tabs>
          <w:tab w:val="num" w:pos="4292"/>
        </w:tabs>
        <w:ind w:left="4292" w:hanging="360"/>
      </w:pPr>
      <w:rPr>
        <w:rFonts w:ascii="Wingdings" w:hAnsi="Wingdings" w:hint="default"/>
      </w:rPr>
    </w:lvl>
    <w:lvl w:ilvl="6" w:tplc="04050001" w:tentative="1">
      <w:start w:val="1"/>
      <w:numFmt w:val="bullet"/>
      <w:lvlText w:val=""/>
      <w:lvlJc w:val="left"/>
      <w:pPr>
        <w:tabs>
          <w:tab w:val="num" w:pos="5012"/>
        </w:tabs>
        <w:ind w:left="5012" w:hanging="360"/>
      </w:pPr>
      <w:rPr>
        <w:rFonts w:ascii="Symbol" w:hAnsi="Symbol" w:hint="default"/>
      </w:rPr>
    </w:lvl>
    <w:lvl w:ilvl="7" w:tplc="04050003" w:tentative="1">
      <w:start w:val="1"/>
      <w:numFmt w:val="bullet"/>
      <w:lvlText w:val="o"/>
      <w:lvlJc w:val="left"/>
      <w:pPr>
        <w:tabs>
          <w:tab w:val="num" w:pos="5732"/>
        </w:tabs>
        <w:ind w:left="5732" w:hanging="360"/>
      </w:pPr>
      <w:rPr>
        <w:rFonts w:ascii="Courier New" w:hAnsi="Courier New" w:hint="default"/>
      </w:rPr>
    </w:lvl>
    <w:lvl w:ilvl="8" w:tplc="04050005" w:tentative="1">
      <w:start w:val="1"/>
      <w:numFmt w:val="bullet"/>
      <w:lvlText w:val=""/>
      <w:lvlJc w:val="left"/>
      <w:pPr>
        <w:tabs>
          <w:tab w:val="num" w:pos="6452"/>
        </w:tabs>
        <w:ind w:left="6452" w:hanging="360"/>
      </w:pPr>
      <w:rPr>
        <w:rFonts w:ascii="Wingdings" w:hAnsi="Wingdings" w:hint="default"/>
      </w:rPr>
    </w:lvl>
  </w:abstractNum>
  <w:abstractNum w:abstractNumId="104" w15:restartNumberingAfterBreak="0">
    <w:nsid w:val="52246966"/>
    <w:multiLevelType w:val="hybridMultilevel"/>
    <w:tmpl w:val="8722B0E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5" w15:restartNumberingAfterBreak="0">
    <w:nsid w:val="52BD6565"/>
    <w:multiLevelType w:val="hybridMultilevel"/>
    <w:tmpl w:val="3A8EBF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53B04260"/>
    <w:multiLevelType w:val="hybridMultilevel"/>
    <w:tmpl w:val="5E401B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50C7B5B"/>
    <w:multiLevelType w:val="multilevel"/>
    <w:tmpl w:val="4036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57373B2"/>
    <w:multiLevelType w:val="hybridMultilevel"/>
    <w:tmpl w:val="7C7AD6C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9" w15:restartNumberingAfterBreak="0">
    <w:nsid w:val="55FC6E86"/>
    <w:multiLevelType w:val="hybridMultilevel"/>
    <w:tmpl w:val="B9A4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6C74D9F"/>
    <w:multiLevelType w:val="hybridMultilevel"/>
    <w:tmpl w:val="079E9300"/>
    <w:lvl w:ilvl="0" w:tplc="FFA4E9B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56D62777"/>
    <w:multiLevelType w:val="hybridMultilevel"/>
    <w:tmpl w:val="BCD828D2"/>
    <w:lvl w:ilvl="0" w:tplc="E1A402B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73856B4"/>
    <w:multiLevelType w:val="hybridMultilevel"/>
    <w:tmpl w:val="1A14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76A69EC"/>
    <w:multiLevelType w:val="hybridMultilevel"/>
    <w:tmpl w:val="C55E37DA"/>
    <w:lvl w:ilvl="0" w:tplc="F0C69AEC">
      <w:start w:val="1"/>
      <w:numFmt w:val="bullet"/>
      <w:lvlText w:val=""/>
      <w:lvlJc w:val="left"/>
      <w:pPr>
        <w:ind w:left="720" w:hanging="360"/>
      </w:pPr>
      <w:rPr>
        <w:rFonts w:ascii="Symbol" w:hAnsi="Symbol" w:hint="default"/>
      </w:rPr>
    </w:lvl>
    <w:lvl w:ilvl="1" w:tplc="EB745252">
      <w:start w:val="1"/>
      <w:numFmt w:val="bullet"/>
      <w:lvlText w:val="o"/>
      <w:lvlJc w:val="left"/>
      <w:pPr>
        <w:ind w:left="1440" w:hanging="360"/>
      </w:pPr>
      <w:rPr>
        <w:rFonts w:ascii="&quot;Courier New&quot;" w:hAnsi="&quot;Courier New&quot;" w:hint="default"/>
      </w:rPr>
    </w:lvl>
    <w:lvl w:ilvl="2" w:tplc="86B69AB2">
      <w:start w:val="1"/>
      <w:numFmt w:val="bullet"/>
      <w:lvlText w:val=""/>
      <w:lvlJc w:val="left"/>
      <w:pPr>
        <w:ind w:left="2160" w:hanging="360"/>
      </w:pPr>
      <w:rPr>
        <w:rFonts w:ascii="Wingdings" w:hAnsi="Wingdings" w:hint="default"/>
      </w:rPr>
    </w:lvl>
    <w:lvl w:ilvl="3" w:tplc="31841786">
      <w:start w:val="1"/>
      <w:numFmt w:val="bullet"/>
      <w:lvlText w:val=""/>
      <w:lvlJc w:val="left"/>
      <w:pPr>
        <w:ind w:left="2880" w:hanging="360"/>
      </w:pPr>
      <w:rPr>
        <w:rFonts w:ascii="Symbol" w:hAnsi="Symbol" w:hint="default"/>
      </w:rPr>
    </w:lvl>
    <w:lvl w:ilvl="4" w:tplc="D5D251C0">
      <w:start w:val="1"/>
      <w:numFmt w:val="bullet"/>
      <w:lvlText w:val="o"/>
      <w:lvlJc w:val="left"/>
      <w:pPr>
        <w:ind w:left="3600" w:hanging="360"/>
      </w:pPr>
      <w:rPr>
        <w:rFonts w:ascii="Courier New" w:hAnsi="Courier New" w:hint="default"/>
      </w:rPr>
    </w:lvl>
    <w:lvl w:ilvl="5" w:tplc="8D465166">
      <w:start w:val="1"/>
      <w:numFmt w:val="bullet"/>
      <w:lvlText w:val=""/>
      <w:lvlJc w:val="left"/>
      <w:pPr>
        <w:ind w:left="4320" w:hanging="360"/>
      </w:pPr>
      <w:rPr>
        <w:rFonts w:ascii="Wingdings" w:hAnsi="Wingdings" w:hint="default"/>
      </w:rPr>
    </w:lvl>
    <w:lvl w:ilvl="6" w:tplc="25F80020">
      <w:start w:val="1"/>
      <w:numFmt w:val="bullet"/>
      <w:lvlText w:val=""/>
      <w:lvlJc w:val="left"/>
      <w:pPr>
        <w:ind w:left="5040" w:hanging="360"/>
      </w:pPr>
      <w:rPr>
        <w:rFonts w:ascii="Symbol" w:hAnsi="Symbol" w:hint="default"/>
      </w:rPr>
    </w:lvl>
    <w:lvl w:ilvl="7" w:tplc="49FA499A">
      <w:start w:val="1"/>
      <w:numFmt w:val="bullet"/>
      <w:lvlText w:val="o"/>
      <w:lvlJc w:val="left"/>
      <w:pPr>
        <w:ind w:left="5760" w:hanging="360"/>
      </w:pPr>
      <w:rPr>
        <w:rFonts w:ascii="Courier New" w:hAnsi="Courier New" w:hint="default"/>
      </w:rPr>
    </w:lvl>
    <w:lvl w:ilvl="8" w:tplc="FB30FAC0">
      <w:start w:val="1"/>
      <w:numFmt w:val="bullet"/>
      <w:lvlText w:val=""/>
      <w:lvlJc w:val="left"/>
      <w:pPr>
        <w:ind w:left="6480" w:hanging="360"/>
      </w:pPr>
      <w:rPr>
        <w:rFonts w:ascii="Wingdings" w:hAnsi="Wingdings" w:hint="default"/>
      </w:rPr>
    </w:lvl>
  </w:abstractNum>
  <w:abstractNum w:abstractNumId="114" w15:restartNumberingAfterBreak="0">
    <w:nsid w:val="58405010"/>
    <w:multiLevelType w:val="hybridMultilevel"/>
    <w:tmpl w:val="E0C232B2"/>
    <w:lvl w:ilvl="0" w:tplc="913894A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59A85DA3"/>
    <w:multiLevelType w:val="multilevel"/>
    <w:tmpl w:val="2240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C0449B7"/>
    <w:multiLevelType w:val="hybridMultilevel"/>
    <w:tmpl w:val="CE4CD006"/>
    <w:lvl w:ilvl="0" w:tplc="E2BCFC1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7A01B9"/>
    <w:multiLevelType w:val="hybridMultilevel"/>
    <w:tmpl w:val="69EC0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5C932E5C"/>
    <w:multiLevelType w:val="multilevel"/>
    <w:tmpl w:val="852E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D6B1F5C"/>
    <w:multiLevelType w:val="multilevel"/>
    <w:tmpl w:val="8F40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D990329"/>
    <w:multiLevelType w:val="hybridMultilevel"/>
    <w:tmpl w:val="6AB870A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DCD44F4"/>
    <w:multiLevelType w:val="hybridMultilevel"/>
    <w:tmpl w:val="11763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5E8C685F"/>
    <w:multiLevelType w:val="multilevel"/>
    <w:tmpl w:val="B39C0E10"/>
    <w:lvl w:ilvl="0">
      <w:start w:val="1"/>
      <w:numFmt w:val="decimal"/>
      <w:lvlText w:val="%1."/>
      <w:lvlJc w:val="left"/>
      <w:pPr>
        <w:tabs>
          <w:tab w:val="num" w:pos="567"/>
        </w:tabs>
        <w:ind w:left="567" w:hanging="567"/>
      </w:pPr>
      <w:rPr>
        <w:rFonts w:ascii="Arial" w:hAnsi="Arial" w:hint="default"/>
        <w:b/>
        <w:i w:val="0"/>
        <w:sz w:val="28"/>
      </w:rPr>
    </w:lvl>
    <w:lvl w:ilvl="1">
      <w:start w:val="1"/>
      <w:numFmt w:val="decimal"/>
      <w:lvlText w:val="%2."/>
      <w:lvlJc w:val="right"/>
      <w:pPr>
        <w:tabs>
          <w:tab w:val="num" w:pos="2127"/>
        </w:tabs>
        <w:ind w:left="2127" w:hanging="567"/>
      </w:pPr>
      <w:rPr>
        <w:rFonts w:hint="default"/>
        <w:b/>
        <w:i w:val="0"/>
        <w:sz w:val="24"/>
      </w:rPr>
    </w:lvl>
    <w:lvl w:ilvl="2">
      <w:start w:val="1"/>
      <w:numFmt w:val="decimal"/>
      <w:lvlText w:val="%1.%2.%3."/>
      <w:lvlJc w:val="left"/>
      <w:pPr>
        <w:tabs>
          <w:tab w:val="num" w:pos="567"/>
        </w:tabs>
        <w:ind w:left="567" w:hanging="567"/>
      </w:pPr>
      <w:rPr>
        <w:rFonts w:ascii="Arial" w:hAnsi="Arial" w:hint="default"/>
        <w:b/>
        <w:i w:val="0"/>
        <w:sz w:val="22"/>
      </w:rPr>
    </w:lvl>
    <w:lvl w:ilvl="3">
      <w:start w:val="1"/>
      <w:numFmt w:val="decimal"/>
      <w:lvlText w:val="%1.%2.%3.%4"/>
      <w:lvlJc w:val="left"/>
      <w:pPr>
        <w:tabs>
          <w:tab w:val="num" w:pos="1574"/>
        </w:tabs>
        <w:ind w:left="157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15:restartNumberingAfterBreak="0">
    <w:nsid w:val="60282DE8"/>
    <w:multiLevelType w:val="multilevel"/>
    <w:tmpl w:val="F3162C4E"/>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4" w15:restartNumberingAfterBreak="0">
    <w:nsid w:val="605F78A8"/>
    <w:multiLevelType w:val="hybridMultilevel"/>
    <w:tmpl w:val="400452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627C7F66"/>
    <w:multiLevelType w:val="hybridMultilevel"/>
    <w:tmpl w:val="F61C2B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643E5812"/>
    <w:multiLevelType w:val="hybridMultilevel"/>
    <w:tmpl w:val="1A0A4EE8"/>
    <w:lvl w:ilvl="0" w:tplc="964ED56C">
      <w:numFmt w:val="bullet"/>
      <w:lvlText w:val="-"/>
      <w:lvlJc w:val="left"/>
      <w:pPr>
        <w:ind w:left="720" w:hanging="360"/>
      </w:pPr>
      <w:rPr>
        <w:rFonts w:ascii="Arial" w:eastAsia="Times New Roman" w:hAnsi="Arial" w:cs="Aria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64B82C96"/>
    <w:multiLevelType w:val="hybridMultilevel"/>
    <w:tmpl w:val="4A809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650F4982"/>
    <w:multiLevelType w:val="hybridMultilevel"/>
    <w:tmpl w:val="756871C0"/>
    <w:lvl w:ilvl="0" w:tplc="184EE84E">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651F3588"/>
    <w:multiLevelType w:val="hybridMultilevel"/>
    <w:tmpl w:val="3A009A84"/>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53F7FEF"/>
    <w:multiLevelType w:val="multilevel"/>
    <w:tmpl w:val="A6F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5AC56A5"/>
    <w:multiLevelType w:val="hybridMultilevel"/>
    <w:tmpl w:val="181E7C34"/>
    <w:lvl w:ilvl="0" w:tplc="65C48F7C">
      <w:start w:val="1"/>
      <w:numFmt w:val="lowerLetter"/>
      <w:lvlText w:val="%1)"/>
      <w:lvlJc w:val="left"/>
      <w:pPr>
        <w:ind w:left="644"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7588FAE"/>
    <w:multiLevelType w:val="hybridMultilevel"/>
    <w:tmpl w:val="E51C1B1A"/>
    <w:lvl w:ilvl="0" w:tplc="FDEAC69E">
      <w:start w:val="2"/>
      <w:numFmt w:val="decimal"/>
      <w:lvlText w:val="%1."/>
      <w:lvlJc w:val="left"/>
      <w:pPr>
        <w:ind w:left="720" w:hanging="360"/>
      </w:pPr>
    </w:lvl>
    <w:lvl w:ilvl="1" w:tplc="1D0A7774">
      <w:start w:val="1"/>
      <w:numFmt w:val="lowerLetter"/>
      <w:lvlText w:val="%2."/>
      <w:lvlJc w:val="left"/>
      <w:pPr>
        <w:ind w:left="1440" w:hanging="360"/>
      </w:pPr>
    </w:lvl>
    <w:lvl w:ilvl="2" w:tplc="080AB698">
      <w:start w:val="1"/>
      <w:numFmt w:val="lowerRoman"/>
      <w:lvlText w:val="%3."/>
      <w:lvlJc w:val="right"/>
      <w:pPr>
        <w:ind w:left="2160" w:hanging="180"/>
      </w:pPr>
    </w:lvl>
    <w:lvl w:ilvl="3" w:tplc="907A2D2E">
      <w:start w:val="1"/>
      <w:numFmt w:val="decimal"/>
      <w:lvlText w:val="%4."/>
      <w:lvlJc w:val="left"/>
      <w:pPr>
        <w:ind w:left="2880" w:hanging="360"/>
      </w:pPr>
    </w:lvl>
    <w:lvl w:ilvl="4" w:tplc="BD1A3700">
      <w:start w:val="1"/>
      <w:numFmt w:val="lowerLetter"/>
      <w:lvlText w:val="%5."/>
      <w:lvlJc w:val="left"/>
      <w:pPr>
        <w:ind w:left="3600" w:hanging="360"/>
      </w:pPr>
    </w:lvl>
    <w:lvl w:ilvl="5" w:tplc="68CCFBE0">
      <w:start w:val="1"/>
      <w:numFmt w:val="lowerRoman"/>
      <w:lvlText w:val="%6."/>
      <w:lvlJc w:val="right"/>
      <w:pPr>
        <w:ind w:left="4320" w:hanging="180"/>
      </w:pPr>
    </w:lvl>
    <w:lvl w:ilvl="6" w:tplc="6EF05048">
      <w:start w:val="1"/>
      <w:numFmt w:val="decimal"/>
      <w:lvlText w:val="%7."/>
      <w:lvlJc w:val="left"/>
      <w:pPr>
        <w:ind w:left="5040" w:hanging="360"/>
      </w:pPr>
    </w:lvl>
    <w:lvl w:ilvl="7" w:tplc="6E8EAC08">
      <w:start w:val="1"/>
      <w:numFmt w:val="lowerLetter"/>
      <w:lvlText w:val="%8."/>
      <w:lvlJc w:val="left"/>
      <w:pPr>
        <w:ind w:left="5760" w:hanging="360"/>
      </w:pPr>
    </w:lvl>
    <w:lvl w:ilvl="8" w:tplc="54C476F0">
      <w:start w:val="1"/>
      <w:numFmt w:val="lowerRoman"/>
      <w:lvlText w:val="%9."/>
      <w:lvlJc w:val="right"/>
      <w:pPr>
        <w:ind w:left="6480" w:hanging="180"/>
      </w:pPr>
    </w:lvl>
  </w:abstractNum>
  <w:abstractNum w:abstractNumId="133" w15:restartNumberingAfterBreak="0">
    <w:nsid w:val="699E32DA"/>
    <w:multiLevelType w:val="hybridMultilevel"/>
    <w:tmpl w:val="25C0A9EA"/>
    <w:lvl w:ilvl="0" w:tplc="2F16DA5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A337829"/>
    <w:multiLevelType w:val="hybridMultilevel"/>
    <w:tmpl w:val="FDA08E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6DE06CE1"/>
    <w:multiLevelType w:val="hybridMultilevel"/>
    <w:tmpl w:val="7D8858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15:restartNumberingAfterBreak="0">
    <w:nsid w:val="6E4F1122"/>
    <w:multiLevelType w:val="hybridMultilevel"/>
    <w:tmpl w:val="FF26EC0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7" w15:restartNumberingAfterBreak="0">
    <w:nsid w:val="6EE1078B"/>
    <w:multiLevelType w:val="multilevel"/>
    <w:tmpl w:val="190AF008"/>
    <w:lvl w:ilvl="0">
      <w:start w:val="1"/>
      <w:numFmt w:val="decimal"/>
      <w:pStyle w:val="Nadpis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127"/>
        </w:tabs>
        <w:ind w:left="2127" w:hanging="567"/>
      </w:pPr>
      <w:rPr>
        <w:rFonts w:ascii="Arial" w:hAnsi="Arial" w:hint="default"/>
        <w:b/>
        <w:i w:val="0"/>
        <w:sz w:val="24"/>
      </w:rPr>
    </w:lvl>
    <w:lvl w:ilvl="2">
      <w:start w:val="1"/>
      <w:numFmt w:val="decimal"/>
      <w:lvlText w:val="%1.%2.%3."/>
      <w:lvlJc w:val="left"/>
      <w:pPr>
        <w:tabs>
          <w:tab w:val="num" w:pos="567"/>
        </w:tabs>
        <w:ind w:left="567" w:hanging="567"/>
      </w:pPr>
      <w:rPr>
        <w:rFonts w:ascii="Arial" w:hAnsi="Arial" w:hint="default"/>
        <w:b w:val="0"/>
        <w:bCs/>
        <w:i w:val="0"/>
        <w:sz w:val="24"/>
        <w:szCs w:val="24"/>
      </w:rPr>
    </w:lvl>
    <w:lvl w:ilvl="3">
      <w:start w:val="1"/>
      <w:numFmt w:val="decimal"/>
      <w:pStyle w:val="Nadpis4"/>
      <w:lvlText w:val="%1.%2.%3.%4"/>
      <w:lvlJc w:val="left"/>
      <w:pPr>
        <w:tabs>
          <w:tab w:val="num" w:pos="1574"/>
        </w:tabs>
        <w:ind w:left="1574" w:hanging="864"/>
      </w:pPr>
      <w:rPr>
        <w:rFonts w:hint="default"/>
      </w:rPr>
    </w:lvl>
    <w:lvl w:ilvl="4">
      <w:start w:val="1"/>
      <w:numFmt w:val="decimal"/>
      <w:pStyle w:val="Nadpis5"/>
      <w:lvlText w:val="%1.%2.%3.%4.%5"/>
      <w:lvlJc w:val="left"/>
      <w:pPr>
        <w:tabs>
          <w:tab w:val="num" w:pos="1008"/>
        </w:tabs>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38" w15:restartNumberingAfterBreak="0">
    <w:nsid w:val="6F3C2192"/>
    <w:multiLevelType w:val="hybridMultilevel"/>
    <w:tmpl w:val="519E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0411E6"/>
    <w:multiLevelType w:val="hybridMultilevel"/>
    <w:tmpl w:val="25B8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02A469A"/>
    <w:multiLevelType w:val="multilevel"/>
    <w:tmpl w:val="AEC088A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71FE5E07"/>
    <w:multiLevelType w:val="multilevel"/>
    <w:tmpl w:val="D9F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5ED46DC"/>
    <w:multiLevelType w:val="hybridMultilevel"/>
    <w:tmpl w:val="D5301644"/>
    <w:lvl w:ilvl="0" w:tplc="A91C47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7A585ECC"/>
    <w:multiLevelType w:val="multilevel"/>
    <w:tmpl w:val="E88A92DE"/>
    <w:lvl w:ilvl="0">
      <w:start w:val="1"/>
      <w:numFmt w:val="decimal"/>
      <w:lvlText w:val="%1"/>
      <w:lvlJc w:val="left"/>
      <w:pPr>
        <w:ind w:left="420" w:hanging="420"/>
      </w:pPr>
      <w:rPr>
        <w:sz w:val="16"/>
        <w:szCs w:val="16"/>
      </w:rPr>
    </w:lvl>
    <w:lvl w:ilvl="1">
      <w:start w:val="10"/>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5280" w:hanging="1800"/>
      </w:pPr>
    </w:lvl>
  </w:abstractNum>
  <w:abstractNum w:abstractNumId="144" w15:restartNumberingAfterBreak="0">
    <w:nsid w:val="7A9F6F09"/>
    <w:multiLevelType w:val="hybridMultilevel"/>
    <w:tmpl w:val="E0CC7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EED203E"/>
    <w:multiLevelType w:val="hybridMultilevel"/>
    <w:tmpl w:val="3F3670C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37"/>
  </w:num>
  <w:num w:numId="2">
    <w:abstractNumId w:val="103"/>
  </w:num>
  <w:num w:numId="3">
    <w:abstractNumId w:val="37"/>
  </w:num>
  <w:num w:numId="4">
    <w:abstractNumId w:val="19"/>
  </w:num>
  <w:num w:numId="5">
    <w:abstractNumId w:val="62"/>
  </w:num>
  <w:num w:numId="6">
    <w:abstractNumId w:val="101"/>
  </w:num>
  <w:num w:numId="7">
    <w:abstractNumId w:val="23"/>
  </w:num>
  <w:num w:numId="8">
    <w:abstractNumId w:val="36"/>
  </w:num>
  <w:num w:numId="9">
    <w:abstractNumId w:val="81"/>
  </w:num>
  <w:num w:numId="10">
    <w:abstractNumId w:val="137"/>
  </w:num>
  <w:num w:numId="11">
    <w:abstractNumId w:val="137"/>
  </w:num>
  <w:num w:numId="12">
    <w:abstractNumId w:val="137"/>
  </w:num>
  <w:num w:numId="13">
    <w:abstractNumId w:val="85"/>
  </w:num>
  <w:num w:numId="14">
    <w:abstractNumId w:val="121"/>
  </w:num>
  <w:num w:numId="15">
    <w:abstractNumId w:val="132"/>
  </w:num>
  <w:num w:numId="16">
    <w:abstractNumId w:val="71"/>
  </w:num>
  <w:num w:numId="17">
    <w:abstractNumId w:val="99"/>
  </w:num>
  <w:num w:numId="18">
    <w:abstractNumId w:val="84"/>
  </w:num>
  <w:num w:numId="19">
    <w:abstractNumId w:val="113"/>
  </w:num>
  <w:num w:numId="20">
    <w:abstractNumId w:val="21"/>
  </w:num>
  <w:num w:numId="21">
    <w:abstractNumId w:val="91"/>
  </w:num>
  <w:num w:numId="22">
    <w:abstractNumId w:val="69"/>
  </w:num>
  <w:num w:numId="23">
    <w:abstractNumId w:val="80"/>
  </w:num>
  <w:num w:numId="24">
    <w:abstractNumId w:val="111"/>
  </w:num>
  <w:num w:numId="25">
    <w:abstractNumId w:val="125"/>
  </w:num>
  <w:num w:numId="26">
    <w:abstractNumId w:val="134"/>
  </w:num>
  <w:num w:numId="27">
    <w:abstractNumId w:val="61"/>
  </w:num>
  <w:num w:numId="28">
    <w:abstractNumId w:val="127"/>
  </w:num>
  <w:num w:numId="29">
    <w:abstractNumId w:val="58"/>
  </w:num>
  <w:num w:numId="30">
    <w:abstractNumId w:val="12"/>
  </w:num>
  <w:num w:numId="31">
    <w:abstractNumId w:val="7"/>
  </w:num>
  <w:num w:numId="32">
    <w:abstractNumId w:val="103"/>
  </w:num>
  <w:num w:numId="33">
    <w:abstractNumId w:val="40"/>
  </w:num>
  <w:num w:numId="34">
    <w:abstractNumId w:val="97"/>
  </w:num>
  <w:num w:numId="35">
    <w:abstractNumId w:val="57"/>
  </w:num>
  <w:num w:numId="36">
    <w:abstractNumId w:val="102"/>
  </w:num>
  <w:num w:numId="37">
    <w:abstractNumId w:val="32"/>
  </w:num>
  <w:num w:numId="38">
    <w:abstractNumId w:val="24"/>
  </w:num>
  <w:num w:numId="39">
    <w:abstractNumId w:val="33"/>
  </w:num>
  <w:num w:numId="40">
    <w:abstractNumId w:val="35"/>
  </w:num>
  <w:num w:numId="41">
    <w:abstractNumId w:val="137"/>
  </w:num>
  <w:num w:numId="42">
    <w:abstractNumId w:val="137"/>
  </w:num>
  <w:num w:numId="43">
    <w:abstractNumId w:val="18"/>
  </w:num>
  <w:num w:numId="44">
    <w:abstractNumId w:val="67"/>
  </w:num>
  <w:num w:numId="45">
    <w:abstractNumId w:val="76"/>
  </w:num>
  <w:num w:numId="46">
    <w:abstractNumId w:val="64"/>
  </w:num>
  <w:num w:numId="47">
    <w:abstractNumId w:val="98"/>
  </w:num>
  <w:num w:numId="48">
    <w:abstractNumId w:val="8"/>
  </w:num>
  <w:num w:numId="49">
    <w:abstractNumId w:val="108"/>
  </w:num>
  <w:num w:numId="50">
    <w:abstractNumId w:val="136"/>
  </w:num>
  <w:num w:numId="51">
    <w:abstractNumId w:val="63"/>
  </w:num>
  <w:num w:numId="52">
    <w:abstractNumId w:val="15"/>
  </w:num>
  <w:num w:numId="53">
    <w:abstractNumId w:val="145"/>
  </w:num>
  <w:num w:numId="54">
    <w:abstractNumId w:val="31"/>
  </w:num>
  <w:num w:numId="55">
    <w:abstractNumId w:val="79"/>
  </w:num>
  <w:num w:numId="56">
    <w:abstractNumId w:val="30"/>
  </w:num>
  <w:num w:numId="57">
    <w:abstractNumId w:val="44"/>
  </w:num>
  <w:num w:numId="58">
    <w:abstractNumId w:val="13"/>
  </w:num>
  <w:num w:numId="59">
    <w:abstractNumId w:val="39"/>
  </w:num>
  <w:num w:numId="60">
    <w:abstractNumId w:val="48"/>
  </w:num>
  <w:num w:numId="61">
    <w:abstractNumId w:val="94"/>
  </w:num>
  <w:num w:numId="62">
    <w:abstractNumId w:val="77"/>
  </w:num>
  <w:num w:numId="63">
    <w:abstractNumId w:val="10"/>
  </w:num>
  <w:num w:numId="64">
    <w:abstractNumId w:val="16"/>
  </w:num>
  <w:num w:numId="65">
    <w:abstractNumId w:val="22"/>
  </w:num>
  <w:num w:numId="66">
    <w:abstractNumId w:val="59"/>
  </w:num>
  <w:num w:numId="67">
    <w:abstractNumId w:val="47"/>
  </w:num>
  <w:num w:numId="68">
    <w:abstractNumId w:val="123"/>
  </w:num>
  <w:num w:numId="69">
    <w:abstractNumId w:val="27"/>
  </w:num>
  <w:num w:numId="70">
    <w:abstractNumId w:val="6"/>
  </w:num>
  <w:num w:numId="71">
    <w:abstractNumId w:val="14"/>
  </w:num>
  <w:num w:numId="72">
    <w:abstractNumId w:val="56"/>
  </w:num>
  <w:num w:numId="73">
    <w:abstractNumId w:val="133"/>
  </w:num>
  <w:num w:numId="74">
    <w:abstractNumId w:val="17"/>
  </w:num>
  <w:num w:numId="75">
    <w:abstractNumId w:val="116"/>
  </w:num>
  <w:num w:numId="76">
    <w:abstractNumId w:val="4"/>
  </w:num>
  <w:num w:numId="77">
    <w:abstractNumId w:val="75"/>
  </w:num>
  <w:num w:numId="78">
    <w:abstractNumId w:val="83"/>
  </w:num>
  <w:num w:numId="79">
    <w:abstractNumId w:val="109"/>
  </w:num>
  <w:num w:numId="80">
    <w:abstractNumId w:val="70"/>
  </w:num>
  <w:num w:numId="81">
    <w:abstractNumId w:val="139"/>
  </w:num>
  <w:num w:numId="82">
    <w:abstractNumId w:val="138"/>
  </w:num>
  <w:num w:numId="83">
    <w:abstractNumId w:val="26"/>
  </w:num>
  <w:num w:numId="84">
    <w:abstractNumId w:val="144"/>
  </w:num>
  <w:num w:numId="85">
    <w:abstractNumId w:val="9"/>
  </w:num>
  <w:num w:numId="86">
    <w:abstractNumId w:val="112"/>
  </w:num>
  <w:num w:numId="87">
    <w:abstractNumId w:val="25"/>
  </w:num>
  <w:num w:numId="88">
    <w:abstractNumId w:val="50"/>
  </w:num>
  <w:num w:numId="89">
    <w:abstractNumId w:val="43"/>
  </w:num>
  <w:num w:numId="90">
    <w:abstractNumId w:val="129"/>
  </w:num>
  <w:num w:numId="91">
    <w:abstractNumId w:val="131"/>
  </w:num>
  <w:num w:numId="92">
    <w:abstractNumId w:val="88"/>
  </w:num>
  <w:num w:numId="93">
    <w:abstractNumId w:val="42"/>
  </w:num>
  <w:num w:numId="94">
    <w:abstractNumId w:val="93"/>
  </w:num>
  <w:num w:numId="95">
    <w:abstractNumId w:val="49"/>
  </w:num>
  <w:num w:numId="96">
    <w:abstractNumId w:val="107"/>
  </w:num>
  <w:num w:numId="97">
    <w:abstractNumId w:val="119"/>
  </w:num>
  <w:num w:numId="98">
    <w:abstractNumId w:val="141"/>
  </w:num>
  <w:num w:numId="99">
    <w:abstractNumId w:val="11"/>
  </w:num>
  <w:num w:numId="100">
    <w:abstractNumId w:val="2"/>
  </w:num>
  <w:num w:numId="101">
    <w:abstractNumId w:val="118"/>
  </w:num>
  <w:num w:numId="102">
    <w:abstractNumId w:val="130"/>
  </w:num>
  <w:num w:numId="103">
    <w:abstractNumId w:val="52"/>
  </w:num>
  <w:num w:numId="104">
    <w:abstractNumId w:val="89"/>
  </w:num>
  <w:num w:numId="105">
    <w:abstractNumId w:val="65"/>
  </w:num>
  <w:num w:numId="106">
    <w:abstractNumId w:val="115"/>
  </w:num>
  <w:num w:numId="107">
    <w:abstractNumId w:val="34"/>
  </w:num>
  <w:num w:numId="108">
    <w:abstractNumId w:val="54"/>
  </w:num>
  <w:num w:numId="109">
    <w:abstractNumId w:val="20"/>
  </w:num>
  <w:num w:numId="110">
    <w:abstractNumId w:val="90"/>
  </w:num>
  <w:num w:numId="111">
    <w:abstractNumId w:val="92"/>
  </w:num>
  <w:num w:numId="112">
    <w:abstractNumId w:val="73"/>
  </w:num>
  <w:num w:numId="113">
    <w:abstractNumId w:val="78"/>
  </w:num>
  <w:num w:numId="114">
    <w:abstractNumId w:val="1"/>
  </w:num>
  <w:num w:numId="115">
    <w:abstractNumId w:val="53"/>
  </w:num>
  <w:num w:numId="116">
    <w:abstractNumId w:val="124"/>
  </w:num>
  <w:num w:numId="117">
    <w:abstractNumId w:val="41"/>
  </w:num>
  <w:num w:numId="118">
    <w:abstractNumId w:val="28"/>
  </w:num>
  <w:num w:numId="119">
    <w:abstractNumId w:val="128"/>
  </w:num>
  <w:num w:numId="120">
    <w:abstractNumId w:val="110"/>
  </w:num>
  <w:num w:numId="121">
    <w:abstractNumId w:val="3"/>
  </w:num>
  <w:num w:numId="1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3"/>
  </w:num>
  <w:num w:numId="12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2"/>
  </w:num>
  <w:num w:numId="128">
    <w:abstractNumId w:val="55"/>
  </w:num>
  <w:num w:numId="129">
    <w:abstractNumId w:val="126"/>
  </w:num>
  <w:num w:numId="130">
    <w:abstractNumId w:val="117"/>
  </w:num>
  <w:num w:numId="131">
    <w:abstractNumId w:val="45"/>
  </w:num>
  <w:num w:numId="132">
    <w:abstractNumId w:val="68"/>
  </w:num>
  <w:num w:numId="133">
    <w:abstractNumId w:val="46"/>
  </w:num>
  <w:num w:numId="134">
    <w:abstractNumId w:val="140"/>
  </w:num>
  <w:num w:numId="135">
    <w:abstractNumId w:val="100"/>
  </w:num>
  <w:num w:numId="136">
    <w:abstractNumId w:val="5"/>
  </w:num>
  <w:num w:numId="137">
    <w:abstractNumId w:val="142"/>
  </w:num>
  <w:num w:numId="138">
    <w:abstractNumId w:val="74"/>
  </w:num>
  <w:num w:numId="139">
    <w:abstractNumId w:val="135"/>
  </w:num>
  <w:num w:numId="140">
    <w:abstractNumId w:val="66"/>
  </w:num>
  <w:num w:numId="141">
    <w:abstractNumId w:val="0"/>
  </w:num>
  <w:num w:numId="142">
    <w:abstractNumId w:val="29"/>
  </w:num>
  <w:num w:numId="143">
    <w:abstractNumId w:val="105"/>
  </w:num>
  <w:num w:numId="144">
    <w:abstractNumId w:val="51"/>
  </w:num>
  <w:num w:numId="145">
    <w:abstractNumId w:val="114"/>
  </w:num>
  <w:num w:numId="146">
    <w:abstractNumId w:val="114"/>
  </w:num>
  <w:num w:numId="147">
    <w:abstractNumId w:val="143"/>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2"/>
  </w:num>
  <w:num w:numId="149">
    <w:abstractNumId w:val="106"/>
  </w:num>
  <w:num w:numId="150">
    <w:abstractNumId w:val="104"/>
  </w:num>
  <w:num w:numId="151">
    <w:abstractNumId w:val="38"/>
  </w:num>
  <w:num w:numId="152">
    <w:abstractNumId w:val="122"/>
  </w:num>
  <w:num w:numId="153">
    <w:abstractNumId w:val="96"/>
  </w:num>
  <w:num w:numId="154">
    <w:abstractNumId w:val="86"/>
  </w:num>
  <w:num w:numId="155">
    <w:abstractNumId w:val="37"/>
  </w:num>
  <w:num w:numId="156">
    <w:abstractNumId w:val="8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noPunctuationKerning/>
  <w:characterSpacingControl w:val="doNotCompress"/>
  <w:hdrShapeDefaults>
    <o:shapedefaults v:ext="edit" spidmax="2051">
      <o:colormenu v:ext="edit" fillcolor="none [3212]"/>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DF"/>
    <w:rsid w:val="000005EE"/>
    <w:rsid w:val="0000073B"/>
    <w:rsid w:val="0000090A"/>
    <w:rsid w:val="00001D77"/>
    <w:rsid w:val="00002DF3"/>
    <w:rsid w:val="00002EE6"/>
    <w:rsid w:val="00003083"/>
    <w:rsid w:val="000037A5"/>
    <w:rsid w:val="00003893"/>
    <w:rsid w:val="000049FF"/>
    <w:rsid w:val="00004CC8"/>
    <w:rsid w:val="00004CE0"/>
    <w:rsid w:val="00004EFC"/>
    <w:rsid w:val="00005057"/>
    <w:rsid w:val="0000534C"/>
    <w:rsid w:val="000107A7"/>
    <w:rsid w:val="00010DC1"/>
    <w:rsid w:val="00010EB5"/>
    <w:rsid w:val="00012F1E"/>
    <w:rsid w:val="000137C2"/>
    <w:rsid w:val="00014D0D"/>
    <w:rsid w:val="0001741C"/>
    <w:rsid w:val="00021286"/>
    <w:rsid w:val="00021371"/>
    <w:rsid w:val="0002178A"/>
    <w:rsid w:val="00022524"/>
    <w:rsid w:val="00022AF4"/>
    <w:rsid w:val="00023A86"/>
    <w:rsid w:val="00023C1D"/>
    <w:rsid w:val="0002428C"/>
    <w:rsid w:val="00024410"/>
    <w:rsid w:val="00025003"/>
    <w:rsid w:val="000252A9"/>
    <w:rsid w:val="00025331"/>
    <w:rsid w:val="00025E3E"/>
    <w:rsid w:val="00027BD0"/>
    <w:rsid w:val="0003026C"/>
    <w:rsid w:val="00030CDE"/>
    <w:rsid w:val="0003129E"/>
    <w:rsid w:val="00031479"/>
    <w:rsid w:val="00031ECE"/>
    <w:rsid w:val="0003228E"/>
    <w:rsid w:val="000324E4"/>
    <w:rsid w:val="0003279E"/>
    <w:rsid w:val="00034113"/>
    <w:rsid w:val="0003471E"/>
    <w:rsid w:val="00035E9A"/>
    <w:rsid w:val="00036982"/>
    <w:rsid w:val="00036B46"/>
    <w:rsid w:val="00040404"/>
    <w:rsid w:val="00040720"/>
    <w:rsid w:val="0004078A"/>
    <w:rsid w:val="00041963"/>
    <w:rsid w:val="00043B89"/>
    <w:rsid w:val="00043FF9"/>
    <w:rsid w:val="00044816"/>
    <w:rsid w:val="00046BC1"/>
    <w:rsid w:val="00046E08"/>
    <w:rsid w:val="00047793"/>
    <w:rsid w:val="00052025"/>
    <w:rsid w:val="00052D19"/>
    <w:rsid w:val="0005362D"/>
    <w:rsid w:val="00054A9B"/>
    <w:rsid w:val="000554BE"/>
    <w:rsid w:val="0005687E"/>
    <w:rsid w:val="00056BDD"/>
    <w:rsid w:val="00057139"/>
    <w:rsid w:val="00057318"/>
    <w:rsid w:val="00057CE7"/>
    <w:rsid w:val="00057DBE"/>
    <w:rsid w:val="00060EC2"/>
    <w:rsid w:val="00061CD7"/>
    <w:rsid w:val="00062BFF"/>
    <w:rsid w:val="00062DD3"/>
    <w:rsid w:val="00062F6A"/>
    <w:rsid w:val="000633B9"/>
    <w:rsid w:val="00063F16"/>
    <w:rsid w:val="00064128"/>
    <w:rsid w:val="000648D4"/>
    <w:rsid w:val="000653F1"/>
    <w:rsid w:val="00065E30"/>
    <w:rsid w:val="00066BA2"/>
    <w:rsid w:val="00066D42"/>
    <w:rsid w:val="000672E9"/>
    <w:rsid w:val="00067755"/>
    <w:rsid w:val="000677BC"/>
    <w:rsid w:val="00067C48"/>
    <w:rsid w:val="0007018C"/>
    <w:rsid w:val="0007024C"/>
    <w:rsid w:val="00070628"/>
    <w:rsid w:val="0007092C"/>
    <w:rsid w:val="00070DFF"/>
    <w:rsid w:val="00071AF6"/>
    <w:rsid w:val="00071EFD"/>
    <w:rsid w:val="00072234"/>
    <w:rsid w:val="0007223C"/>
    <w:rsid w:val="00072244"/>
    <w:rsid w:val="00073A35"/>
    <w:rsid w:val="00073F64"/>
    <w:rsid w:val="000742CD"/>
    <w:rsid w:val="00074AD4"/>
    <w:rsid w:val="000750A0"/>
    <w:rsid w:val="00075136"/>
    <w:rsid w:val="00076B99"/>
    <w:rsid w:val="00076D33"/>
    <w:rsid w:val="000779C1"/>
    <w:rsid w:val="00077BA7"/>
    <w:rsid w:val="00077CB5"/>
    <w:rsid w:val="00080311"/>
    <w:rsid w:val="0008084A"/>
    <w:rsid w:val="000813E9"/>
    <w:rsid w:val="0008167C"/>
    <w:rsid w:val="00081A61"/>
    <w:rsid w:val="00082524"/>
    <w:rsid w:val="00082BBD"/>
    <w:rsid w:val="000838EB"/>
    <w:rsid w:val="0008550E"/>
    <w:rsid w:val="00085A9C"/>
    <w:rsid w:val="00085D03"/>
    <w:rsid w:val="00085D3C"/>
    <w:rsid w:val="000861BB"/>
    <w:rsid w:val="00086759"/>
    <w:rsid w:val="00086866"/>
    <w:rsid w:val="0008743A"/>
    <w:rsid w:val="00089465"/>
    <w:rsid w:val="00091173"/>
    <w:rsid w:val="00091A89"/>
    <w:rsid w:val="0009263E"/>
    <w:rsid w:val="00093562"/>
    <w:rsid w:val="00093D82"/>
    <w:rsid w:val="000940BC"/>
    <w:rsid w:val="000940F6"/>
    <w:rsid w:val="000944EE"/>
    <w:rsid w:val="000946EC"/>
    <w:rsid w:val="00094819"/>
    <w:rsid w:val="00094CC1"/>
    <w:rsid w:val="00095089"/>
    <w:rsid w:val="0009655E"/>
    <w:rsid w:val="00097FF4"/>
    <w:rsid w:val="000A03F2"/>
    <w:rsid w:val="000A1154"/>
    <w:rsid w:val="000A2593"/>
    <w:rsid w:val="000A2640"/>
    <w:rsid w:val="000A45E0"/>
    <w:rsid w:val="000A4D8E"/>
    <w:rsid w:val="000A5352"/>
    <w:rsid w:val="000A5636"/>
    <w:rsid w:val="000A5D94"/>
    <w:rsid w:val="000A5FB9"/>
    <w:rsid w:val="000A6400"/>
    <w:rsid w:val="000A6DB5"/>
    <w:rsid w:val="000A6F81"/>
    <w:rsid w:val="000A7DFE"/>
    <w:rsid w:val="000B37D9"/>
    <w:rsid w:val="000B4D48"/>
    <w:rsid w:val="000B4EA2"/>
    <w:rsid w:val="000B61BA"/>
    <w:rsid w:val="000B7604"/>
    <w:rsid w:val="000B7898"/>
    <w:rsid w:val="000B7A86"/>
    <w:rsid w:val="000B7E92"/>
    <w:rsid w:val="000B7FC3"/>
    <w:rsid w:val="000C003F"/>
    <w:rsid w:val="000C0732"/>
    <w:rsid w:val="000C1919"/>
    <w:rsid w:val="000C1FA9"/>
    <w:rsid w:val="000C29B3"/>
    <w:rsid w:val="000C490B"/>
    <w:rsid w:val="000C495D"/>
    <w:rsid w:val="000C5145"/>
    <w:rsid w:val="000C5308"/>
    <w:rsid w:val="000C5450"/>
    <w:rsid w:val="000C56C2"/>
    <w:rsid w:val="000C6EA9"/>
    <w:rsid w:val="000C71AD"/>
    <w:rsid w:val="000D16FF"/>
    <w:rsid w:val="000D1B81"/>
    <w:rsid w:val="000D1DCD"/>
    <w:rsid w:val="000D2055"/>
    <w:rsid w:val="000D286D"/>
    <w:rsid w:val="000D3665"/>
    <w:rsid w:val="000D3EC0"/>
    <w:rsid w:val="000D453F"/>
    <w:rsid w:val="000D464F"/>
    <w:rsid w:val="000D4DBB"/>
    <w:rsid w:val="000D506E"/>
    <w:rsid w:val="000D6132"/>
    <w:rsid w:val="000D681E"/>
    <w:rsid w:val="000D6954"/>
    <w:rsid w:val="000D6A45"/>
    <w:rsid w:val="000D6C88"/>
    <w:rsid w:val="000D6CA1"/>
    <w:rsid w:val="000D6EE9"/>
    <w:rsid w:val="000D79DE"/>
    <w:rsid w:val="000D7B65"/>
    <w:rsid w:val="000D7D92"/>
    <w:rsid w:val="000D7F2C"/>
    <w:rsid w:val="000E0B25"/>
    <w:rsid w:val="000E19A6"/>
    <w:rsid w:val="000E1A17"/>
    <w:rsid w:val="000E36C7"/>
    <w:rsid w:val="000E3A8B"/>
    <w:rsid w:val="000E4321"/>
    <w:rsid w:val="000E4BFD"/>
    <w:rsid w:val="000E52AD"/>
    <w:rsid w:val="000E5B59"/>
    <w:rsid w:val="000E5C43"/>
    <w:rsid w:val="000E6ECA"/>
    <w:rsid w:val="000E7138"/>
    <w:rsid w:val="000F0EB9"/>
    <w:rsid w:val="000F119F"/>
    <w:rsid w:val="000F1AFA"/>
    <w:rsid w:val="000F2314"/>
    <w:rsid w:val="000F25DF"/>
    <w:rsid w:val="000F3FE3"/>
    <w:rsid w:val="000F42CA"/>
    <w:rsid w:val="000F54EF"/>
    <w:rsid w:val="000F5D79"/>
    <w:rsid w:val="000F60E8"/>
    <w:rsid w:val="000F68AC"/>
    <w:rsid w:val="000F69FE"/>
    <w:rsid w:val="000F7D94"/>
    <w:rsid w:val="0010207C"/>
    <w:rsid w:val="00102D3C"/>
    <w:rsid w:val="00102F6B"/>
    <w:rsid w:val="00103116"/>
    <w:rsid w:val="00104B01"/>
    <w:rsid w:val="0010515B"/>
    <w:rsid w:val="0010571B"/>
    <w:rsid w:val="00107A9F"/>
    <w:rsid w:val="00110412"/>
    <w:rsid w:val="001112B4"/>
    <w:rsid w:val="00112D03"/>
    <w:rsid w:val="001136F2"/>
    <w:rsid w:val="00113B79"/>
    <w:rsid w:val="00113CD9"/>
    <w:rsid w:val="00113DBC"/>
    <w:rsid w:val="00114078"/>
    <w:rsid w:val="00115DBE"/>
    <w:rsid w:val="00117B16"/>
    <w:rsid w:val="001207B0"/>
    <w:rsid w:val="00122D9C"/>
    <w:rsid w:val="00122F8A"/>
    <w:rsid w:val="00123034"/>
    <w:rsid w:val="001238D1"/>
    <w:rsid w:val="0012399D"/>
    <w:rsid w:val="00123DC5"/>
    <w:rsid w:val="00124180"/>
    <w:rsid w:val="00124F75"/>
    <w:rsid w:val="00125198"/>
    <w:rsid w:val="0012566B"/>
    <w:rsid w:val="001273B5"/>
    <w:rsid w:val="001276F8"/>
    <w:rsid w:val="00127822"/>
    <w:rsid w:val="001300DE"/>
    <w:rsid w:val="00132DB6"/>
    <w:rsid w:val="00132DBF"/>
    <w:rsid w:val="00132EAF"/>
    <w:rsid w:val="001330F8"/>
    <w:rsid w:val="001332C0"/>
    <w:rsid w:val="00133E8E"/>
    <w:rsid w:val="00136525"/>
    <w:rsid w:val="0013690F"/>
    <w:rsid w:val="001377E4"/>
    <w:rsid w:val="00141920"/>
    <w:rsid w:val="0014231D"/>
    <w:rsid w:val="00142463"/>
    <w:rsid w:val="001427BA"/>
    <w:rsid w:val="00142C1E"/>
    <w:rsid w:val="0014353B"/>
    <w:rsid w:val="00144145"/>
    <w:rsid w:val="00144801"/>
    <w:rsid w:val="0014501E"/>
    <w:rsid w:val="0014661D"/>
    <w:rsid w:val="00146B0E"/>
    <w:rsid w:val="0014770E"/>
    <w:rsid w:val="00147AA7"/>
    <w:rsid w:val="00147CB4"/>
    <w:rsid w:val="00147E95"/>
    <w:rsid w:val="00150ADF"/>
    <w:rsid w:val="001516F0"/>
    <w:rsid w:val="00151DF7"/>
    <w:rsid w:val="00152519"/>
    <w:rsid w:val="0015271E"/>
    <w:rsid w:val="00152CCC"/>
    <w:rsid w:val="00152D9B"/>
    <w:rsid w:val="001532CE"/>
    <w:rsid w:val="0015401A"/>
    <w:rsid w:val="00155D78"/>
    <w:rsid w:val="00155DDF"/>
    <w:rsid w:val="00156350"/>
    <w:rsid w:val="00156645"/>
    <w:rsid w:val="001569C0"/>
    <w:rsid w:val="00160D2E"/>
    <w:rsid w:val="00160F35"/>
    <w:rsid w:val="00162E4E"/>
    <w:rsid w:val="00163A42"/>
    <w:rsid w:val="00164246"/>
    <w:rsid w:val="00164B47"/>
    <w:rsid w:val="00166D24"/>
    <w:rsid w:val="00167EA3"/>
    <w:rsid w:val="001701DE"/>
    <w:rsid w:val="0017046A"/>
    <w:rsid w:val="00170B66"/>
    <w:rsid w:val="00170DB7"/>
    <w:rsid w:val="00170DCE"/>
    <w:rsid w:val="00171270"/>
    <w:rsid w:val="00171F37"/>
    <w:rsid w:val="001721A8"/>
    <w:rsid w:val="00172C2D"/>
    <w:rsid w:val="00173D50"/>
    <w:rsid w:val="00176031"/>
    <w:rsid w:val="00176550"/>
    <w:rsid w:val="00177B3D"/>
    <w:rsid w:val="001805C7"/>
    <w:rsid w:val="00180B78"/>
    <w:rsid w:val="00180CEF"/>
    <w:rsid w:val="001821A6"/>
    <w:rsid w:val="0018326B"/>
    <w:rsid w:val="001838AB"/>
    <w:rsid w:val="00184527"/>
    <w:rsid w:val="001849F6"/>
    <w:rsid w:val="00185095"/>
    <w:rsid w:val="001855E9"/>
    <w:rsid w:val="0018649C"/>
    <w:rsid w:val="00187F09"/>
    <w:rsid w:val="00190C90"/>
    <w:rsid w:val="00191682"/>
    <w:rsid w:val="001918B3"/>
    <w:rsid w:val="00191B62"/>
    <w:rsid w:val="00191D89"/>
    <w:rsid w:val="0019257D"/>
    <w:rsid w:val="00193293"/>
    <w:rsid w:val="00196359"/>
    <w:rsid w:val="00196C67"/>
    <w:rsid w:val="00197F77"/>
    <w:rsid w:val="001A18A5"/>
    <w:rsid w:val="001A1A26"/>
    <w:rsid w:val="001A1CC3"/>
    <w:rsid w:val="001A2801"/>
    <w:rsid w:val="001A2E4E"/>
    <w:rsid w:val="001A3100"/>
    <w:rsid w:val="001A32B2"/>
    <w:rsid w:val="001A37D0"/>
    <w:rsid w:val="001A3C36"/>
    <w:rsid w:val="001A4037"/>
    <w:rsid w:val="001A43C8"/>
    <w:rsid w:val="001A646C"/>
    <w:rsid w:val="001A661D"/>
    <w:rsid w:val="001A6B98"/>
    <w:rsid w:val="001A773B"/>
    <w:rsid w:val="001B007B"/>
    <w:rsid w:val="001B08A1"/>
    <w:rsid w:val="001B0AD0"/>
    <w:rsid w:val="001B13F6"/>
    <w:rsid w:val="001B1522"/>
    <w:rsid w:val="001B1BE0"/>
    <w:rsid w:val="001B24BC"/>
    <w:rsid w:val="001B35A0"/>
    <w:rsid w:val="001B4472"/>
    <w:rsid w:val="001B66B5"/>
    <w:rsid w:val="001B6F7A"/>
    <w:rsid w:val="001B7153"/>
    <w:rsid w:val="001B7301"/>
    <w:rsid w:val="001B7757"/>
    <w:rsid w:val="001B7DEA"/>
    <w:rsid w:val="001C0009"/>
    <w:rsid w:val="001C076A"/>
    <w:rsid w:val="001C09A2"/>
    <w:rsid w:val="001C0C5A"/>
    <w:rsid w:val="001C1F45"/>
    <w:rsid w:val="001C28B6"/>
    <w:rsid w:val="001C3AB0"/>
    <w:rsid w:val="001C47BC"/>
    <w:rsid w:val="001C4C1A"/>
    <w:rsid w:val="001C5616"/>
    <w:rsid w:val="001C58D7"/>
    <w:rsid w:val="001C5935"/>
    <w:rsid w:val="001C59AD"/>
    <w:rsid w:val="001C59B2"/>
    <w:rsid w:val="001C5ED3"/>
    <w:rsid w:val="001C6291"/>
    <w:rsid w:val="001C644A"/>
    <w:rsid w:val="001D02F6"/>
    <w:rsid w:val="001D0415"/>
    <w:rsid w:val="001D1529"/>
    <w:rsid w:val="001D1BAC"/>
    <w:rsid w:val="001D3C57"/>
    <w:rsid w:val="001D557C"/>
    <w:rsid w:val="001D572A"/>
    <w:rsid w:val="001D73B3"/>
    <w:rsid w:val="001D7EC9"/>
    <w:rsid w:val="001E2497"/>
    <w:rsid w:val="001E26A6"/>
    <w:rsid w:val="001E2A21"/>
    <w:rsid w:val="001E3E74"/>
    <w:rsid w:val="001E419E"/>
    <w:rsid w:val="001E4550"/>
    <w:rsid w:val="001E5437"/>
    <w:rsid w:val="001E5C48"/>
    <w:rsid w:val="001E613D"/>
    <w:rsid w:val="001E639C"/>
    <w:rsid w:val="001E7A2E"/>
    <w:rsid w:val="001F0046"/>
    <w:rsid w:val="001F16C0"/>
    <w:rsid w:val="001F16EE"/>
    <w:rsid w:val="001F1E62"/>
    <w:rsid w:val="001F20A4"/>
    <w:rsid w:val="001F2165"/>
    <w:rsid w:val="001F4160"/>
    <w:rsid w:val="001F4BC7"/>
    <w:rsid w:val="001F6BFB"/>
    <w:rsid w:val="001F77FC"/>
    <w:rsid w:val="0020036C"/>
    <w:rsid w:val="00200A8E"/>
    <w:rsid w:val="00200C63"/>
    <w:rsid w:val="00202C3C"/>
    <w:rsid w:val="00202D7F"/>
    <w:rsid w:val="002041A7"/>
    <w:rsid w:val="00204E2B"/>
    <w:rsid w:val="002057AA"/>
    <w:rsid w:val="00205C97"/>
    <w:rsid w:val="0020604B"/>
    <w:rsid w:val="00206336"/>
    <w:rsid w:val="00206C13"/>
    <w:rsid w:val="00207DA4"/>
    <w:rsid w:val="0021082F"/>
    <w:rsid w:val="00210CD8"/>
    <w:rsid w:val="002118BC"/>
    <w:rsid w:val="00211E5D"/>
    <w:rsid w:val="00212FC5"/>
    <w:rsid w:val="0021321F"/>
    <w:rsid w:val="00213561"/>
    <w:rsid w:val="002138A9"/>
    <w:rsid w:val="00213FA5"/>
    <w:rsid w:val="00214437"/>
    <w:rsid w:val="00216477"/>
    <w:rsid w:val="002166E7"/>
    <w:rsid w:val="00216A3A"/>
    <w:rsid w:val="00216D6C"/>
    <w:rsid w:val="002174D2"/>
    <w:rsid w:val="0021754D"/>
    <w:rsid w:val="00217976"/>
    <w:rsid w:val="002222AE"/>
    <w:rsid w:val="002224A3"/>
    <w:rsid w:val="0022252D"/>
    <w:rsid w:val="00222691"/>
    <w:rsid w:val="00222979"/>
    <w:rsid w:val="00222B84"/>
    <w:rsid w:val="0022311F"/>
    <w:rsid w:val="0022494A"/>
    <w:rsid w:val="002249F7"/>
    <w:rsid w:val="002251C8"/>
    <w:rsid w:val="00225974"/>
    <w:rsid w:val="002260C7"/>
    <w:rsid w:val="00226328"/>
    <w:rsid w:val="00226429"/>
    <w:rsid w:val="00227A51"/>
    <w:rsid w:val="00230748"/>
    <w:rsid w:val="002309BE"/>
    <w:rsid w:val="00231292"/>
    <w:rsid w:val="002312BC"/>
    <w:rsid w:val="002316DB"/>
    <w:rsid w:val="002320C4"/>
    <w:rsid w:val="002332CD"/>
    <w:rsid w:val="002333AE"/>
    <w:rsid w:val="002338FD"/>
    <w:rsid w:val="0023390D"/>
    <w:rsid w:val="00234C7B"/>
    <w:rsid w:val="002352F9"/>
    <w:rsid w:val="00235604"/>
    <w:rsid w:val="00235C06"/>
    <w:rsid w:val="002365E6"/>
    <w:rsid w:val="00236D6C"/>
    <w:rsid w:val="002408A9"/>
    <w:rsid w:val="00242832"/>
    <w:rsid w:val="00245CA8"/>
    <w:rsid w:val="00246E35"/>
    <w:rsid w:val="002511F2"/>
    <w:rsid w:val="00253E3A"/>
    <w:rsid w:val="002543A4"/>
    <w:rsid w:val="00255786"/>
    <w:rsid w:val="00255D96"/>
    <w:rsid w:val="00256737"/>
    <w:rsid w:val="00256B7F"/>
    <w:rsid w:val="00257752"/>
    <w:rsid w:val="00260169"/>
    <w:rsid w:val="002615AF"/>
    <w:rsid w:val="00261F77"/>
    <w:rsid w:val="00262376"/>
    <w:rsid w:val="002628BA"/>
    <w:rsid w:val="00262BAA"/>
    <w:rsid w:val="0026412B"/>
    <w:rsid w:val="00264BAE"/>
    <w:rsid w:val="00264C22"/>
    <w:rsid w:val="00264DE6"/>
    <w:rsid w:val="0026501F"/>
    <w:rsid w:val="0026505E"/>
    <w:rsid w:val="00265BB9"/>
    <w:rsid w:val="00265C6A"/>
    <w:rsid w:val="00266894"/>
    <w:rsid w:val="002669BB"/>
    <w:rsid w:val="00266FF3"/>
    <w:rsid w:val="002670E4"/>
    <w:rsid w:val="00267179"/>
    <w:rsid w:val="002671E5"/>
    <w:rsid w:val="002674CA"/>
    <w:rsid w:val="002675AE"/>
    <w:rsid w:val="00270613"/>
    <w:rsid w:val="00270AC4"/>
    <w:rsid w:val="0027145F"/>
    <w:rsid w:val="00271F25"/>
    <w:rsid w:val="002722A0"/>
    <w:rsid w:val="002726FC"/>
    <w:rsid w:val="00273763"/>
    <w:rsid w:val="00274037"/>
    <w:rsid w:val="00274AA5"/>
    <w:rsid w:val="00275253"/>
    <w:rsid w:val="002768D4"/>
    <w:rsid w:val="002769D9"/>
    <w:rsid w:val="002769EC"/>
    <w:rsid w:val="00277068"/>
    <w:rsid w:val="00277A7D"/>
    <w:rsid w:val="00280986"/>
    <w:rsid w:val="00280F69"/>
    <w:rsid w:val="00282546"/>
    <w:rsid w:val="00282A1C"/>
    <w:rsid w:val="00282B28"/>
    <w:rsid w:val="002839AB"/>
    <w:rsid w:val="002843BD"/>
    <w:rsid w:val="002845F3"/>
    <w:rsid w:val="0028462C"/>
    <w:rsid w:val="00284897"/>
    <w:rsid w:val="00284FFF"/>
    <w:rsid w:val="00285239"/>
    <w:rsid w:val="002859BA"/>
    <w:rsid w:val="00285A9D"/>
    <w:rsid w:val="002875BE"/>
    <w:rsid w:val="00290125"/>
    <w:rsid w:val="002917A7"/>
    <w:rsid w:val="00291E38"/>
    <w:rsid w:val="00292BD6"/>
    <w:rsid w:val="00292F47"/>
    <w:rsid w:val="002936E8"/>
    <w:rsid w:val="00293FF1"/>
    <w:rsid w:val="00294435"/>
    <w:rsid w:val="00294FD1"/>
    <w:rsid w:val="00295060"/>
    <w:rsid w:val="002950ED"/>
    <w:rsid w:val="002953A0"/>
    <w:rsid w:val="00295A5A"/>
    <w:rsid w:val="00295A8E"/>
    <w:rsid w:val="0029643C"/>
    <w:rsid w:val="002A1A04"/>
    <w:rsid w:val="002A213C"/>
    <w:rsid w:val="002A3039"/>
    <w:rsid w:val="002A5B6C"/>
    <w:rsid w:val="002A6223"/>
    <w:rsid w:val="002A6BDC"/>
    <w:rsid w:val="002A6EA4"/>
    <w:rsid w:val="002A7972"/>
    <w:rsid w:val="002B0625"/>
    <w:rsid w:val="002B0EBE"/>
    <w:rsid w:val="002B4092"/>
    <w:rsid w:val="002B54B1"/>
    <w:rsid w:val="002B5BC5"/>
    <w:rsid w:val="002B6BEE"/>
    <w:rsid w:val="002C143A"/>
    <w:rsid w:val="002C1569"/>
    <w:rsid w:val="002C27BE"/>
    <w:rsid w:val="002C34A3"/>
    <w:rsid w:val="002C4162"/>
    <w:rsid w:val="002C57CA"/>
    <w:rsid w:val="002C5CA9"/>
    <w:rsid w:val="002C6940"/>
    <w:rsid w:val="002C7B06"/>
    <w:rsid w:val="002D07BF"/>
    <w:rsid w:val="002D08AF"/>
    <w:rsid w:val="002D1082"/>
    <w:rsid w:val="002D14A9"/>
    <w:rsid w:val="002D17EE"/>
    <w:rsid w:val="002D25B0"/>
    <w:rsid w:val="002D280B"/>
    <w:rsid w:val="002D379F"/>
    <w:rsid w:val="002D407D"/>
    <w:rsid w:val="002D4ED0"/>
    <w:rsid w:val="002D5EE8"/>
    <w:rsid w:val="002D6A6C"/>
    <w:rsid w:val="002D6D7E"/>
    <w:rsid w:val="002E2859"/>
    <w:rsid w:val="002E29C5"/>
    <w:rsid w:val="002E3380"/>
    <w:rsid w:val="002E3747"/>
    <w:rsid w:val="002E3D2A"/>
    <w:rsid w:val="002E476D"/>
    <w:rsid w:val="002E5497"/>
    <w:rsid w:val="002E5F65"/>
    <w:rsid w:val="002E67FF"/>
    <w:rsid w:val="002E6D07"/>
    <w:rsid w:val="002E76C6"/>
    <w:rsid w:val="002E7CBF"/>
    <w:rsid w:val="002F0399"/>
    <w:rsid w:val="002F0736"/>
    <w:rsid w:val="002F0C3C"/>
    <w:rsid w:val="002F0ED3"/>
    <w:rsid w:val="002F1477"/>
    <w:rsid w:val="002F2269"/>
    <w:rsid w:val="002F2749"/>
    <w:rsid w:val="002F27EA"/>
    <w:rsid w:val="002F369C"/>
    <w:rsid w:val="002F3A38"/>
    <w:rsid w:val="002F3B74"/>
    <w:rsid w:val="002F4B64"/>
    <w:rsid w:val="002F51FA"/>
    <w:rsid w:val="002F750D"/>
    <w:rsid w:val="002F7985"/>
    <w:rsid w:val="0030002F"/>
    <w:rsid w:val="00300669"/>
    <w:rsid w:val="003009FA"/>
    <w:rsid w:val="003018FE"/>
    <w:rsid w:val="003019AA"/>
    <w:rsid w:val="00303348"/>
    <w:rsid w:val="00303D74"/>
    <w:rsid w:val="003043E5"/>
    <w:rsid w:val="00304B77"/>
    <w:rsid w:val="003050D0"/>
    <w:rsid w:val="003050F8"/>
    <w:rsid w:val="0030533F"/>
    <w:rsid w:val="00305685"/>
    <w:rsid w:val="003056DB"/>
    <w:rsid w:val="00305C50"/>
    <w:rsid w:val="00311162"/>
    <w:rsid w:val="00312A76"/>
    <w:rsid w:val="00313A9D"/>
    <w:rsid w:val="00314891"/>
    <w:rsid w:val="00314EBC"/>
    <w:rsid w:val="00315A31"/>
    <w:rsid w:val="00315B48"/>
    <w:rsid w:val="00315C8D"/>
    <w:rsid w:val="00316E76"/>
    <w:rsid w:val="00317FA9"/>
    <w:rsid w:val="003210AA"/>
    <w:rsid w:val="00321B86"/>
    <w:rsid w:val="00322C8B"/>
    <w:rsid w:val="00322E24"/>
    <w:rsid w:val="00324FD7"/>
    <w:rsid w:val="00324FDE"/>
    <w:rsid w:val="00325033"/>
    <w:rsid w:val="00326FE3"/>
    <w:rsid w:val="003272B5"/>
    <w:rsid w:val="003277FF"/>
    <w:rsid w:val="00333280"/>
    <w:rsid w:val="003339A4"/>
    <w:rsid w:val="00333AEC"/>
    <w:rsid w:val="003341C5"/>
    <w:rsid w:val="0033448A"/>
    <w:rsid w:val="00334733"/>
    <w:rsid w:val="00334D3C"/>
    <w:rsid w:val="003358AA"/>
    <w:rsid w:val="00336137"/>
    <w:rsid w:val="0033619D"/>
    <w:rsid w:val="00336B63"/>
    <w:rsid w:val="00337C28"/>
    <w:rsid w:val="00341363"/>
    <w:rsid w:val="00342019"/>
    <w:rsid w:val="00342B47"/>
    <w:rsid w:val="003437E8"/>
    <w:rsid w:val="0034392A"/>
    <w:rsid w:val="0034457E"/>
    <w:rsid w:val="00345B8E"/>
    <w:rsid w:val="00345E02"/>
    <w:rsid w:val="00346481"/>
    <w:rsid w:val="00346675"/>
    <w:rsid w:val="00346D74"/>
    <w:rsid w:val="00346DDE"/>
    <w:rsid w:val="00347052"/>
    <w:rsid w:val="00347F67"/>
    <w:rsid w:val="0035059B"/>
    <w:rsid w:val="00350DBE"/>
    <w:rsid w:val="003513EF"/>
    <w:rsid w:val="00351D29"/>
    <w:rsid w:val="003522E6"/>
    <w:rsid w:val="003543EB"/>
    <w:rsid w:val="00355065"/>
    <w:rsid w:val="003563C3"/>
    <w:rsid w:val="0035706B"/>
    <w:rsid w:val="00357923"/>
    <w:rsid w:val="003608A9"/>
    <w:rsid w:val="00361904"/>
    <w:rsid w:val="003621A1"/>
    <w:rsid w:val="003624C5"/>
    <w:rsid w:val="003629FB"/>
    <w:rsid w:val="00363CD2"/>
    <w:rsid w:val="00364D91"/>
    <w:rsid w:val="00366B28"/>
    <w:rsid w:val="00367CDF"/>
    <w:rsid w:val="00370DD5"/>
    <w:rsid w:val="00370F04"/>
    <w:rsid w:val="003719AE"/>
    <w:rsid w:val="00372267"/>
    <w:rsid w:val="00374009"/>
    <w:rsid w:val="0037416C"/>
    <w:rsid w:val="00374557"/>
    <w:rsid w:val="00375D2E"/>
    <w:rsid w:val="00376486"/>
    <w:rsid w:val="00376C9B"/>
    <w:rsid w:val="00376F92"/>
    <w:rsid w:val="00377C8E"/>
    <w:rsid w:val="00377FB1"/>
    <w:rsid w:val="00381087"/>
    <w:rsid w:val="0038154D"/>
    <w:rsid w:val="00382273"/>
    <w:rsid w:val="00384149"/>
    <w:rsid w:val="003849D9"/>
    <w:rsid w:val="00384A81"/>
    <w:rsid w:val="00384E16"/>
    <w:rsid w:val="00386CD3"/>
    <w:rsid w:val="003874F2"/>
    <w:rsid w:val="0038769A"/>
    <w:rsid w:val="00390B26"/>
    <w:rsid w:val="00390D18"/>
    <w:rsid w:val="00391006"/>
    <w:rsid w:val="00391200"/>
    <w:rsid w:val="00391261"/>
    <w:rsid w:val="00392243"/>
    <w:rsid w:val="0039243A"/>
    <w:rsid w:val="0039259F"/>
    <w:rsid w:val="00394C58"/>
    <w:rsid w:val="003950E6"/>
    <w:rsid w:val="0039637E"/>
    <w:rsid w:val="00396D71"/>
    <w:rsid w:val="003A0634"/>
    <w:rsid w:val="003A0DCB"/>
    <w:rsid w:val="003A3683"/>
    <w:rsid w:val="003A3B32"/>
    <w:rsid w:val="003A414E"/>
    <w:rsid w:val="003A4C98"/>
    <w:rsid w:val="003A5BE2"/>
    <w:rsid w:val="003A6E0E"/>
    <w:rsid w:val="003A7618"/>
    <w:rsid w:val="003A7DBF"/>
    <w:rsid w:val="003B064D"/>
    <w:rsid w:val="003B0A7B"/>
    <w:rsid w:val="003B1E93"/>
    <w:rsid w:val="003B2284"/>
    <w:rsid w:val="003B3099"/>
    <w:rsid w:val="003B38ED"/>
    <w:rsid w:val="003B5243"/>
    <w:rsid w:val="003B56A0"/>
    <w:rsid w:val="003B643D"/>
    <w:rsid w:val="003B6A99"/>
    <w:rsid w:val="003B6E7B"/>
    <w:rsid w:val="003B760C"/>
    <w:rsid w:val="003B79C5"/>
    <w:rsid w:val="003B7EF6"/>
    <w:rsid w:val="003C06C7"/>
    <w:rsid w:val="003C074A"/>
    <w:rsid w:val="003C093D"/>
    <w:rsid w:val="003C0D10"/>
    <w:rsid w:val="003C103E"/>
    <w:rsid w:val="003C11EF"/>
    <w:rsid w:val="003C1576"/>
    <w:rsid w:val="003C157C"/>
    <w:rsid w:val="003C1CF9"/>
    <w:rsid w:val="003C2A65"/>
    <w:rsid w:val="003C4D06"/>
    <w:rsid w:val="003C51B7"/>
    <w:rsid w:val="003C641E"/>
    <w:rsid w:val="003C7B58"/>
    <w:rsid w:val="003D089C"/>
    <w:rsid w:val="003D1504"/>
    <w:rsid w:val="003D1B2B"/>
    <w:rsid w:val="003D2288"/>
    <w:rsid w:val="003D26B8"/>
    <w:rsid w:val="003D35AA"/>
    <w:rsid w:val="003D3E4F"/>
    <w:rsid w:val="003D4772"/>
    <w:rsid w:val="003D49EB"/>
    <w:rsid w:val="003D5CAE"/>
    <w:rsid w:val="003D5CDC"/>
    <w:rsid w:val="003D625D"/>
    <w:rsid w:val="003D6B3E"/>
    <w:rsid w:val="003D6FEB"/>
    <w:rsid w:val="003D774B"/>
    <w:rsid w:val="003E0F31"/>
    <w:rsid w:val="003E1621"/>
    <w:rsid w:val="003E4D6D"/>
    <w:rsid w:val="003E5176"/>
    <w:rsid w:val="003E602F"/>
    <w:rsid w:val="003E7215"/>
    <w:rsid w:val="003E72A6"/>
    <w:rsid w:val="003E7703"/>
    <w:rsid w:val="003F0908"/>
    <w:rsid w:val="003F315A"/>
    <w:rsid w:val="003F36B3"/>
    <w:rsid w:val="003F40AE"/>
    <w:rsid w:val="003F55BE"/>
    <w:rsid w:val="003F6524"/>
    <w:rsid w:val="003F66A3"/>
    <w:rsid w:val="003F683F"/>
    <w:rsid w:val="003F6DD9"/>
    <w:rsid w:val="003F767D"/>
    <w:rsid w:val="004008AB"/>
    <w:rsid w:val="0040125E"/>
    <w:rsid w:val="00401468"/>
    <w:rsid w:val="00401625"/>
    <w:rsid w:val="00401923"/>
    <w:rsid w:val="004024A9"/>
    <w:rsid w:val="00403006"/>
    <w:rsid w:val="00403E7E"/>
    <w:rsid w:val="004042AD"/>
    <w:rsid w:val="00404492"/>
    <w:rsid w:val="00405251"/>
    <w:rsid w:val="00405A76"/>
    <w:rsid w:val="0040603D"/>
    <w:rsid w:val="00406659"/>
    <w:rsid w:val="00406CF2"/>
    <w:rsid w:val="00407426"/>
    <w:rsid w:val="0040792B"/>
    <w:rsid w:val="00407B68"/>
    <w:rsid w:val="00407F4F"/>
    <w:rsid w:val="004103B7"/>
    <w:rsid w:val="004114EC"/>
    <w:rsid w:val="00411A05"/>
    <w:rsid w:val="004124AC"/>
    <w:rsid w:val="004147A7"/>
    <w:rsid w:val="00415472"/>
    <w:rsid w:val="00415679"/>
    <w:rsid w:val="00415C17"/>
    <w:rsid w:val="00416F2E"/>
    <w:rsid w:val="00417604"/>
    <w:rsid w:val="00420FA4"/>
    <w:rsid w:val="00421419"/>
    <w:rsid w:val="0042230A"/>
    <w:rsid w:val="00422864"/>
    <w:rsid w:val="004229A9"/>
    <w:rsid w:val="004231E1"/>
    <w:rsid w:val="00424E7A"/>
    <w:rsid w:val="00425AD6"/>
    <w:rsid w:val="004265A5"/>
    <w:rsid w:val="00426D18"/>
    <w:rsid w:val="004270BD"/>
    <w:rsid w:val="004271E9"/>
    <w:rsid w:val="00427502"/>
    <w:rsid w:val="004275CB"/>
    <w:rsid w:val="00427725"/>
    <w:rsid w:val="00427E3F"/>
    <w:rsid w:val="004301C1"/>
    <w:rsid w:val="004305C7"/>
    <w:rsid w:val="004309CD"/>
    <w:rsid w:val="00431EDF"/>
    <w:rsid w:val="004329E3"/>
    <w:rsid w:val="00432EA9"/>
    <w:rsid w:val="00434712"/>
    <w:rsid w:val="00435093"/>
    <w:rsid w:val="004351CD"/>
    <w:rsid w:val="00435855"/>
    <w:rsid w:val="00436958"/>
    <w:rsid w:val="00436E6F"/>
    <w:rsid w:val="0043712A"/>
    <w:rsid w:val="00437540"/>
    <w:rsid w:val="00437BB6"/>
    <w:rsid w:val="00440840"/>
    <w:rsid w:val="0044166B"/>
    <w:rsid w:val="0044261D"/>
    <w:rsid w:val="00442B61"/>
    <w:rsid w:val="00442B8E"/>
    <w:rsid w:val="00444067"/>
    <w:rsid w:val="004449F6"/>
    <w:rsid w:val="00445FAE"/>
    <w:rsid w:val="00446369"/>
    <w:rsid w:val="004476AA"/>
    <w:rsid w:val="0045256E"/>
    <w:rsid w:val="00452A2C"/>
    <w:rsid w:val="00452AFA"/>
    <w:rsid w:val="00453AA1"/>
    <w:rsid w:val="00455998"/>
    <w:rsid w:val="00455F34"/>
    <w:rsid w:val="004579CB"/>
    <w:rsid w:val="0046032C"/>
    <w:rsid w:val="0046038B"/>
    <w:rsid w:val="00460C33"/>
    <w:rsid w:val="00461153"/>
    <w:rsid w:val="00461556"/>
    <w:rsid w:val="004615AF"/>
    <w:rsid w:val="0046215D"/>
    <w:rsid w:val="0046227C"/>
    <w:rsid w:val="004629E7"/>
    <w:rsid w:val="00463034"/>
    <w:rsid w:val="004630D3"/>
    <w:rsid w:val="00463EFF"/>
    <w:rsid w:val="0046415D"/>
    <w:rsid w:val="0046453E"/>
    <w:rsid w:val="004648FB"/>
    <w:rsid w:val="00466BE4"/>
    <w:rsid w:val="00466D85"/>
    <w:rsid w:val="00466FD0"/>
    <w:rsid w:val="0046752E"/>
    <w:rsid w:val="004675F9"/>
    <w:rsid w:val="00467A6F"/>
    <w:rsid w:val="00467A8A"/>
    <w:rsid w:val="0047231D"/>
    <w:rsid w:val="00472DE9"/>
    <w:rsid w:val="004733BC"/>
    <w:rsid w:val="0047385C"/>
    <w:rsid w:val="00473A7B"/>
    <w:rsid w:val="00473BB9"/>
    <w:rsid w:val="0047432C"/>
    <w:rsid w:val="004745DA"/>
    <w:rsid w:val="00474FFA"/>
    <w:rsid w:val="004758D9"/>
    <w:rsid w:val="00475DD0"/>
    <w:rsid w:val="0047617F"/>
    <w:rsid w:val="0047665D"/>
    <w:rsid w:val="0047762A"/>
    <w:rsid w:val="00480164"/>
    <w:rsid w:val="00480409"/>
    <w:rsid w:val="00480A84"/>
    <w:rsid w:val="00481FAA"/>
    <w:rsid w:val="004826F5"/>
    <w:rsid w:val="00482D77"/>
    <w:rsid w:val="0048435B"/>
    <w:rsid w:val="00484FA3"/>
    <w:rsid w:val="004851A0"/>
    <w:rsid w:val="0048570C"/>
    <w:rsid w:val="00485E3E"/>
    <w:rsid w:val="00486877"/>
    <w:rsid w:val="00486931"/>
    <w:rsid w:val="00491C44"/>
    <w:rsid w:val="00492B0A"/>
    <w:rsid w:val="00493B67"/>
    <w:rsid w:val="00493C7C"/>
    <w:rsid w:val="00493CC5"/>
    <w:rsid w:val="0049426A"/>
    <w:rsid w:val="0049441E"/>
    <w:rsid w:val="004952A7"/>
    <w:rsid w:val="00495536"/>
    <w:rsid w:val="00496122"/>
    <w:rsid w:val="00496C76"/>
    <w:rsid w:val="00497D55"/>
    <w:rsid w:val="004A0119"/>
    <w:rsid w:val="004A1269"/>
    <w:rsid w:val="004A18F5"/>
    <w:rsid w:val="004A1CE9"/>
    <w:rsid w:val="004A2ECE"/>
    <w:rsid w:val="004A4307"/>
    <w:rsid w:val="004A4457"/>
    <w:rsid w:val="004A5E6D"/>
    <w:rsid w:val="004A69AB"/>
    <w:rsid w:val="004A6BA7"/>
    <w:rsid w:val="004A6E75"/>
    <w:rsid w:val="004A7A90"/>
    <w:rsid w:val="004B03DF"/>
    <w:rsid w:val="004B1425"/>
    <w:rsid w:val="004B1899"/>
    <w:rsid w:val="004B1C6F"/>
    <w:rsid w:val="004B2C37"/>
    <w:rsid w:val="004B3125"/>
    <w:rsid w:val="004B3A6D"/>
    <w:rsid w:val="004B46BB"/>
    <w:rsid w:val="004B4BC4"/>
    <w:rsid w:val="004B4D3F"/>
    <w:rsid w:val="004B61B4"/>
    <w:rsid w:val="004B758C"/>
    <w:rsid w:val="004B75C6"/>
    <w:rsid w:val="004B7A19"/>
    <w:rsid w:val="004B7B80"/>
    <w:rsid w:val="004C0D7C"/>
    <w:rsid w:val="004C1A72"/>
    <w:rsid w:val="004C27A2"/>
    <w:rsid w:val="004C5C29"/>
    <w:rsid w:val="004C6005"/>
    <w:rsid w:val="004D247E"/>
    <w:rsid w:val="004D3E9F"/>
    <w:rsid w:val="004D4338"/>
    <w:rsid w:val="004D4D49"/>
    <w:rsid w:val="004D5B22"/>
    <w:rsid w:val="004D5BD1"/>
    <w:rsid w:val="004D5C04"/>
    <w:rsid w:val="004D69BC"/>
    <w:rsid w:val="004D720A"/>
    <w:rsid w:val="004D755E"/>
    <w:rsid w:val="004D783A"/>
    <w:rsid w:val="004D7C77"/>
    <w:rsid w:val="004E156F"/>
    <w:rsid w:val="004E4726"/>
    <w:rsid w:val="004E5307"/>
    <w:rsid w:val="004E5D44"/>
    <w:rsid w:val="004E6669"/>
    <w:rsid w:val="004E7020"/>
    <w:rsid w:val="004E79E5"/>
    <w:rsid w:val="004F0953"/>
    <w:rsid w:val="004F2215"/>
    <w:rsid w:val="004F27C2"/>
    <w:rsid w:val="004F2989"/>
    <w:rsid w:val="004F2F60"/>
    <w:rsid w:val="004F3AF8"/>
    <w:rsid w:val="004F42FD"/>
    <w:rsid w:val="004F44A0"/>
    <w:rsid w:val="004F4B46"/>
    <w:rsid w:val="004F5277"/>
    <w:rsid w:val="004F654E"/>
    <w:rsid w:val="004F698E"/>
    <w:rsid w:val="00504D60"/>
    <w:rsid w:val="005052A7"/>
    <w:rsid w:val="005052CD"/>
    <w:rsid w:val="005062EE"/>
    <w:rsid w:val="005064AE"/>
    <w:rsid w:val="005065BB"/>
    <w:rsid w:val="00506814"/>
    <w:rsid w:val="00507057"/>
    <w:rsid w:val="005070C6"/>
    <w:rsid w:val="00510037"/>
    <w:rsid w:val="0051170B"/>
    <w:rsid w:val="00511D2E"/>
    <w:rsid w:val="00512FB0"/>
    <w:rsid w:val="00514228"/>
    <w:rsid w:val="00514828"/>
    <w:rsid w:val="00515D4A"/>
    <w:rsid w:val="005165C0"/>
    <w:rsid w:val="00516C35"/>
    <w:rsid w:val="00517FB0"/>
    <w:rsid w:val="00520999"/>
    <w:rsid w:val="00521053"/>
    <w:rsid w:val="005215D5"/>
    <w:rsid w:val="0052182A"/>
    <w:rsid w:val="00523CA1"/>
    <w:rsid w:val="0052403F"/>
    <w:rsid w:val="00524292"/>
    <w:rsid w:val="00524738"/>
    <w:rsid w:val="005248E0"/>
    <w:rsid w:val="00524AD0"/>
    <w:rsid w:val="0052583E"/>
    <w:rsid w:val="00525B2E"/>
    <w:rsid w:val="0052722F"/>
    <w:rsid w:val="005300ED"/>
    <w:rsid w:val="00530211"/>
    <w:rsid w:val="00530D43"/>
    <w:rsid w:val="0053187B"/>
    <w:rsid w:val="00531F3C"/>
    <w:rsid w:val="00533E48"/>
    <w:rsid w:val="00534066"/>
    <w:rsid w:val="00534FFE"/>
    <w:rsid w:val="0053590B"/>
    <w:rsid w:val="00536574"/>
    <w:rsid w:val="00536CBE"/>
    <w:rsid w:val="00537112"/>
    <w:rsid w:val="00537565"/>
    <w:rsid w:val="005378DB"/>
    <w:rsid w:val="00537933"/>
    <w:rsid w:val="005402FE"/>
    <w:rsid w:val="005407E7"/>
    <w:rsid w:val="00540C3E"/>
    <w:rsid w:val="0054107F"/>
    <w:rsid w:val="005415AD"/>
    <w:rsid w:val="00541704"/>
    <w:rsid w:val="00541961"/>
    <w:rsid w:val="00542659"/>
    <w:rsid w:val="00542F6F"/>
    <w:rsid w:val="005430C8"/>
    <w:rsid w:val="00543140"/>
    <w:rsid w:val="00543428"/>
    <w:rsid w:val="00543438"/>
    <w:rsid w:val="00543AE1"/>
    <w:rsid w:val="00543B7E"/>
    <w:rsid w:val="005460C8"/>
    <w:rsid w:val="00546EEF"/>
    <w:rsid w:val="00547C2A"/>
    <w:rsid w:val="005508FB"/>
    <w:rsid w:val="005521AF"/>
    <w:rsid w:val="00553A17"/>
    <w:rsid w:val="00554C59"/>
    <w:rsid w:val="0055691E"/>
    <w:rsid w:val="00556CB6"/>
    <w:rsid w:val="00557FE1"/>
    <w:rsid w:val="0056015B"/>
    <w:rsid w:val="005609AD"/>
    <w:rsid w:val="00561B49"/>
    <w:rsid w:val="0056255D"/>
    <w:rsid w:val="00562814"/>
    <w:rsid w:val="00564C3C"/>
    <w:rsid w:val="00564F08"/>
    <w:rsid w:val="00565E0F"/>
    <w:rsid w:val="00567E24"/>
    <w:rsid w:val="00567F1B"/>
    <w:rsid w:val="00570685"/>
    <w:rsid w:val="00570AC3"/>
    <w:rsid w:val="00570C8B"/>
    <w:rsid w:val="0057128A"/>
    <w:rsid w:val="00571493"/>
    <w:rsid w:val="00572713"/>
    <w:rsid w:val="00572A7D"/>
    <w:rsid w:val="00573136"/>
    <w:rsid w:val="005731DB"/>
    <w:rsid w:val="0057335E"/>
    <w:rsid w:val="005742FB"/>
    <w:rsid w:val="00575562"/>
    <w:rsid w:val="00576358"/>
    <w:rsid w:val="00576576"/>
    <w:rsid w:val="005814ED"/>
    <w:rsid w:val="00581AEB"/>
    <w:rsid w:val="00581C43"/>
    <w:rsid w:val="00582C7C"/>
    <w:rsid w:val="005831F6"/>
    <w:rsid w:val="0058440B"/>
    <w:rsid w:val="00584C27"/>
    <w:rsid w:val="00584E0D"/>
    <w:rsid w:val="00584E8B"/>
    <w:rsid w:val="00590174"/>
    <w:rsid w:val="005907B5"/>
    <w:rsid w:val="00593437"/>
    <w:rsid w:val="00593C4F"/>
    <w:rsid w:val="0059527A"/>
    <w:rsid w:val="005956AB"/>
    <w:rsid w:val="00595A7B"/>
    <w:rsid w:val="00595C07"/>
    <w:rsid w:val="0059605B"/>
    <w:rsid w:val="005962DC"/>
    <w:rsid w:val="005968B8"/>
    <w:rsid w:val="00596968"/>
    <w:rsid w:val="005969C4"/>
    <w:rsid w:val="00596D58"/>
    <w:rsid w:val="00597643"/>
    <w:rsid w:val="005A06C5"/>
    <w:rsid w:val="005A0B1D"/>
    <w:rsid w:val="005A1323"/>
    <w:rsid w:val="005A1E0F"/>
    <w:rsid w:val="005A2575"/>
    <w:rsid w:val="005A26BE"/>
    <w:rsid w:val="005A2D4E"/>
    <w:rsid w:val="005A2EE9"/>
    <w:rsid w:val="005A318C"/>
    <w:rsid w:val="005A69AD"/>
    <w:rsid w:val="005A6A16"/>
    <w:rsid w:val="005A7524"/>
    <w:rsid w:val="005A7BEF"/>
    <w:rsid w:val="005B09F1"/>
    <w:rsid w:val="005B0E74"/>
    <w:rsid w:val="005B2379"/>
    <w:rsid w:val="005B2E69"/>
    <w:rsid w:val="005B44A1"/>
    <w:rsid w:val="005B4773"/>
    <w:rsid w:val="005B59F1"/>
    <w:rsid w:val="005B5B95"/>
    <w:rsid w:val="005B6BE2"/>
    <w:rsid w:val="005B74BA"/>
    <w:rsid w:val="005C06FC"/>
    <w:rsid w:val="005C11EB"/>
    <w:rsid w:val="005C261D"/>
    <w:rsid w:val="005C2D72"/>
    <w:rsid w:val="005C3BF3"/>
    <w:rsid w:val="005C4886"/>
    <w:rsid w:val="005C499E"/>
    <w:rsid w:val="005C49AF"/>
    <w:rsid w:val="005C4CAF"/>
    <w:rsid w:val="005C65D7"/>
    <w:rsid w:val="005C6C40"/>
    <w:rsid w:val="005D1638"/>
    <w:rsid w:val="005D1BBF"/>
    <w:rsid w:val="005D2AEA"/>
    <w:rsid w:val="005D38B5"/>
    <w:rsid w:val="005D3D12"/>
    <w:rsid w:val="005D59CC"/>
    <w:rsid w:val="005D59DF"/>
    <w:rsid w:val="005D72CF"/>
    <w:rsid w:val="005D7677"/>
    <w:rsid w:val="005E0393"/>
    <w:rsid w:val="005E0604"/>
    <w:rsid w:val="005E0BF0"/>
    <w:rsid w:val="005E0FF6"/>
    <w:rsid w:val="005E141B"/>
    <w:rsid w:val="005E186A"/>
    <w:rsid w:val="005E1EDC"/>
    <w:rsid w:val="005E2C56"/>
    <w:rsid w:val="005E2F84"/>
    <w:rsid w:val="005E4031"/>
    <w:rsid w:val="005E5AA5"/>
    <w:rsid w:val="005E643E"/>
    <w:rsid w:val="005E6697"/>
    <w:rsid w:val="005E704B"/>
    <w:rsid w:val="005E755C"/>
    <w:rsid w:val="005E7898"/>
    <w:rsid w:val="005E78A2"/>
    <w:rsid w:val="005F02BE"/>
    <w:rsid w:val="005F1DAF"/>
    <w:rsid w:val="005F335B"/>
    <w:rsid w:val="005F357F"/>
    <w:rsid w:val="005F413F"/>
    <w:rsid w:val="005F55E2"/>
    <w:rsid w:val="005F560B"/>
    <w:rsid w:val="005F56EE"/>
    <w:rsid w:val="005F5942"/>
    <w:rsid w:val="005F5951"/>
    <w:rsid w:val="005F645B"/>
    <w:rsid w:val="005F73AF"/>
    <w:rsid w:val="006000D0"/>
    <w:rsid w:val="0060082D"/>
    <w:rsid w:val="00601C15"/>
    <w:rsid w:val="006020FB"/>
    <w:rsid w:val="006033EE"/>
    <w:rsid w:val="006051EF"/>
    <w:rsid w:val="00605255"/>
    <w:rsid w:val="0060601C"/>
    <w:rsid w:val="00606848"/>
    <w:rsid w:val="006076E9"/>
    <w:rsid w:val="0060794A"/>
    <w:rsid w:val="0061178C"/>
    <w:rsid w:val="00611861"/>
    <w:rsid w:val="00611F9C"/>
    <w:rsid w:val="00613BA7"/>
    <w:rsid w:val="0061404F"/>
    <w:rsid w:val="00614A6F"/>
    <w:rsid w:val="00615EA8"/>
    <w:rsid w:val="0061668B"/>
    <w:rsid w:val="00616863"/>
    <w:rsid w:val="00616D0B"/>
    <w:rsid w:val="00617DFC"/>
    <w:rsid w:val="00617E3E"/>
    <w:rsid w:val="00621521"/>
    <w:rsid w:val="00622001"/>
    <w:rsid w:val="00622714"/>
    <w:rsid w:val="00623B5B"/>
    <w:rsid w:val="00624631"/>
    <w:rsid w:val="006261E2"/>
    <w:rsid w:val="00627906"/>
    <w:rsid w:val="00627BFB"/>
    <w:rsid w:val="00631154"/>
    <w:rsid w:val="006314B4"/>
    <w:rsid w:val="00631FFE"/>
    <w:rsid w:val="00632452"/>
    <w:rsid w:val="0063246B"/>
    <w:rsid w:val="00633014"/>
    <w:rsid w:val="00633531"/>
    <w:rsid w:val="006337E9"/>
    <w:rsid w:val="00633B5D"/>
    <w:rsid w:val="0063524D"/>
    <w:rsid w:val="00635F2F"/>
    <w:rsid w:val="0063603F"/>
    <w:rsid w:val="006365BD"/>
    <w:rsid w:val="00636E83"/>
    <w:rsid w:val="00637F5B"/>
    <w:rsid w:val="006419A2"/>
    <w:rsid w:val="00641C2F"/>
    <w:rsid w:val="00643586"/>
    <w:rsid w:val="006472B1"/>
    <w:rsid w:val="00651D0E"/>
    <w:rsid w:val="00651F5F"/>
    <w:rsid w:val="00653D80"/>
    <w:rsid w:val="00653F18"/>
    <w:rsid w:val="00656B85"/>
    <w:rsid w:val="006578AE"/>
    <w:rsid w:val="00657941"/>
    <w:rsid w:val="006610BA"/>
    <w:rsid w:val="006611CC"/>
    <w:rsid w:val="0066120C"/>
    <w:rsid w:val="00661224"/>
    <w:rsid w:val="006617DA"/>
    <w:rsid w:val="00664296"/>
    <w:rsid w:val="006654BE"/>
    <w:rsid w:val="00666A64"/>
    <w:rsid w:val="00666BEF"/>
    <w:rsid w:val="00666E5C"/>
    <w:rsid w:val="006679DD"/>
    <w:rsid w:val="00667BB6"/>
    <w:rsid w:val="00670624"/>
    <w:rsid w:val="00670653"/>
    <w:rsid w:val="006719EA"/>
    <w:rsid w:val="00671D1F"/>
    <w:rsid w:val="00671FD7"/>
    <w:rsid w:val="00672FCD"/>
    <w:rsid w:val="00673477"/>
    <w:rsid w:val="00674DC5"/>
    <w:rsid w:val="00674E58"/>
    <w:rsid w:val="0067621F"/>
    <w:rsid w:val="0067675E"/>
    <w:rsid w:val="00677CE5"/>
    <w:rsid w:val="0068002E"/>
    <w:rsid w:val="00681061"/>
    <w:rsid w:val="0068190C"/>
    <w:rsid w:val="00682E47"/>
    <w:rsid w:val="00683676"/>
    <w:rsid w:val="00685212"/>
    <w:rsid w:val="006853A4"/>
    <w:rsid w:val="00686571"/>
    <w:rsid w:val="00687160"/>
    <w:rsid w:val="00690595"/>
    <w:rsid w:val="00690B12"/>
    <w:rsid w:val="00691D05"/>
    <w:rsid w:val="00691DAF"/>
    <w:rsid w:val="00692437"/>
    <w:rsid w:val="006930DA"/>
    <w:rsid w:val="0069630F"/>
    <w:rsid w:val="006970B3"/>
    <w:rsid w:val="00697F03"/>
    <w:rsid w:val="006A0990"/>
    <w:rsid w:val="006A0A0A"/>
    <w:rsid w:val="006A0A3F"/>
    <w:rsid w:val="006A25E0"/>
    <w:rsid w:val="006A3581"/>
    <w:rsid w:val="006A3E6E"/>
    <w:rsid w:val="006A4A43"/>
    <w:rsid w:val="006A4ABD"/>
    <w:rsid w:val="006A4EC0"/>
    <w:rsid w:val="006A6527"/>
    <w:rsid w:val="006A6669"/>
    <w:rsid w:val="006A69C2"/>
    <w:rsid w:val="006A7326"/>
    <w:rsid w:val="006B13CA"/>
    <w:rsid w:val="006B1846"/>
    <w:rsid w:val="006B212A"/>
    <w:rsid w:val="006B26D4"/>
    <w:rsid w:val="006B3B9B"/>
    <w:rsid w:val="006B3C68"/>
    <w:rsid w:val="006B3C75"/>
    <w:rsid w:val="006B4B18"/>
    <w:rsid w:val="006B532E"/>
    <w:rsid w:val="006B6BB2"/>
    <w:rsid w:val="006B7CD7"/>
    <w:rsid w:val="006C0878"/>
    <w:rsid w:val="006C205B"/>
    <w:rsid w:val="006C3EF5"/>
    <w:rsid w:val="006C4087"/>
    <w:rsid w:val="006C496D"/>
    <w:rsid w:val="006C531D"/>
    <w:rsid w:val="006C579E"/>
    <w:rsid w:val="006C613C"/>
    <w:rsid w:val="006C6B58"/>
    <w:rsid w:val="006D3C17"/>
    <w:rsid w:val="006D4970"/>
    <w:rsid w:val="006D673B"/>
    <w:rsid w:val="006D6D7F"/>
    <w:rsid w:val="006D7C2D"/>
    <w:rsid w:val="006E010F"/>
    <w:rsid w:val="006E053F"/>
    <w:rsid w:val="006E0636"/>
    <w:rsid w:val="006E3638"/>
    <w:rsid w:val="006E5144"/>
    <w:rsid w:val="006E5C54"/>
    <w:rsid w:val="006E65F9"/>
    <w:rsid w:val="006E6918"/>
    <w:rsid w:val="006E6BE6"/>
    <w:rsid w:val="006E7363"/>
    <w:rsid w:val="006E78D4"/>
    <w:rsid w:val="006E7D39"/>
    <w:rsid w:val="006F0B24"/>
    <w:rsid w:val="006F1DA7"/>
    <w:rsid w:val="006F204F"/>
    <w:rsid w:val="006F26F3"/>
    <w:rsid w:val="006F28C0"/>
    <w:rsid w:val="006F2A62"/>
    <w:rsid w:val="006F2F9A"/>
    <w:rsid w:val="006F34B6"/>
    <w:rsid w:val="006F3CB2"/>
    <w:rsid w:val="006F3ECE"/>
    <w:rsid w:val="006F429A"/>
    <w:rsid w:val="006F49AE"/>
    <w:rsid w:val="006F5CC2"/>
    <w:rsid w:val="0070012A"/>
    <w:rsid w:val="00702B6E"/>
    <w:rsid w:val="00703608"/>
    <w:rsid w:val="00703DB5"/>
    <w:rsid w:val="007047DE"/>
    <w:rsid w:val="00705068"/>
    <w:rsid w:val="00705802"/>
    <w:rsid w:val="00705FA5"/>
    <w:rsid w:val="00706344"/>
    <w:rsid w:val="00706668"/>
    <w:rsid w:val="00707593"/>
    <w:rsid w:val="00710355"/>
    <w:rsid w:val="0071100C"/>
    <w:rsid w:val="007111EF"/>
    <w:rsid w:val="00712229"/>
    <w:rsid w:val="00713337"/>
    <w:rsid w:val="0071352E"/>
    <w:rsid w:val="00714DD7"/>
    <w:rsid w:val="0071521F"/>
    <w:rsid w:val="007155AA"/>
    <w:rsid w:val="00715B0A"/>
    <w:rsid w:val="00715E1C"/>
    <w:rsid w:val="00716530"/>
    <w:rsid w:val="007169BA"/>
    <w:rsid w:val="00717C1A"/>
    <w:rsid w:val="007203B5"/>
    <w:rsid w:val="00720664"/>
    <w:rsid w:val="007208AB"/>
    <w:rsid w:val="00720CA0"/>
    <w:rsid w:val="00721927"/>
    <w:rsid w:val="00722119"/>
    <w:rsid w:val="00724063"/>
    <w:rsid w:val="0072407A"/>
    <w:rsid w:val="00724C08"/>
    <w:rsid w:val="007263A3"/>
    <w:rsid w:val="00726AF6"/>
    <w:rsid w:val="007310A1"/>
    <w:rsid w:val="007310DB"/>
    <w:rsid w:val="0073130B"/>
    <w:rsid w:val="00731A6E"/>
    <w:rsid w:val="0073207F"/>
    <w:rsid w:val="00732B2E"/>
    <w:rsid w:val="00732D94"/>
    <w:rsid w:val="0073462C"/>
    <w:rsid w:val="00735F66"/>
    <w:rsid w:val="00736758"/>
    <w:rsid w:val="007368D8"/>
    <w:rsid w:val="00736D4B"/>
    <w:rsid w:val="00736DC5"/>
    <w:rsid w:val="00737F8A"/>
    <w:rsid w:val="00740446"/>
    <w:rsid w:val="00740759"/>
    <w:rsid w:val="00740B61"/>
    <w:rsid w:val="007411DF"/>
    <w:rsid w:val="0074122A"/>
    <w:rsid w:val="007414AF"/>
    <w:rsid w:val="007416B3"/>
    <w:rsid w:val="00741CA6"/>
    <w:rsid w:val="00745A3C"/>
    <w:rsid w:val="00745EDA"/>
    <w:rsid w:val="00745F75"/>
    <w:rsid w:val="00746810"/>
    <w:rsid w:val="00746D49"/>
    <w:rsid w:val="00747AF0"/>
    <w:rsid w:val="00747CA1"/>
    <w:rsid w:val="00750071"/>
    <w:rsid w:val="007505AC"/>
    <w:rsid w:val="00750C85"/>
    <w:rsid w:val="00751018"/>
    <w:rsid w:val="007515A4"/>
    <w:rsid w:val="00751851"/>
    <w:rsid w:val="00752739"/>
    <w:rsid w:val="00753DC6"/>
    <w:rsid w:val="00754D23"/>
    <w:rsid w:val="007565B4"/>
    <w:rsid w:val="007570F5"/>
    <w:rsid w:val="0075783C"/>
    <w:rsid w:val="00757E0C"/>
    <w:rsid w:val="007606AA"/>
    <w:rsid w:val="007606D6"/>
    <w:rsid w:val="00760CAD"/>
    <w:rsid w:val="0076179D"/>
    <w:rsid w:val="00761894"/>
    <w:rsid w:val="00761B8D"/>
    <w:rsid w:val="00762516"/>
    <w:rsid w:val="00763064"/>
    <w:rsid w:val="00763423"/>
    <w:rsid w:val="00764C3C"/>
    <w:rsid w:val="0076740E"/>
    <w:rsid w:val="0076747B"/>
    <w:rsid w:val="00767C25"/>
    <w:rsid w:val="007706CB"/>
    <w:rsid w:val="00772033"/>
    <w:rsid w:val="00772B99"/>
    <w:rsid w:val="00772C28"/>
    <w:rsid w:val="00772CB7"/>
    <w:rsid w:val="00772FC2"/>
    <w:rsid w:val="007732E6"/>
    <w:rsid w:val="00774046"/>
    <w:rsid w:val="0077412A"/>
    <w:rsid w:val="0077424B"/>
    <w:rsid w:val="007751CE"/>
    <w:rsid w:val="00775A7D"/>
    <w:rsid w:val="00775AD9"/>
    <w:rsid w:val="00775E2B"/>
    <w:rsid w:val="007763C9"/>
    <w:rsid w:val="00777502"/>
    <w:rsid w:val="007776B8"/>
    <w:rsid w:val="007800CC"/>
    <w:rsid w:val="007806DA"/>
    <w:rsid w:val="00780FAE"/>
    <w:rsid w:val="00781110"/>
    <w:rsid w:val="00781323"/>
    <w:rsid w:val="00781916"/>
    <w:rsid w:val="0078194F"/>
    <w:rsid w:val="00782084"/>
    <w:rsid w:val="00782C44"/>
    <w:rsid w:val="00785361"/>
    <w:rsid w:val="007869B6"/>
    <w:rsid w:val="00786EF0"/>
    <w:rsid w:val="00787C7D"/>
    <w:rsid w:val="00790622"/>
    <w:rsid w:val="00790C8D"/>
    <w:rsid w:val="00792EE6"/>
    <w:rsid w:val="00793069"/>
    <w:rsid w:val="00793FED"/>
    <w:rsid w:val="007945D2"/>
    <w:rsid w:val="0079468E"/>
    <w:rsid w:val="00794865"/>
    <w:rsid w:val="00794A80"/>
    <w:rsid w:val="00794DCD"/>
    <w:rsid w:val="00795887"/>
    <w:rsid w:val="0079599E"/>
    <w:rsid w:val="00796103"/>
    <w:rsid w:val="007973E2"/>
    <w:rsid w:val="00797B90"/>
    <w:rsid w:val="007A004E"/>
    <w:rsid w:val="007A1763"/>
    <w:rsid w:val="007A181D"/>
    <w:rsid w:val="007A227A"/>
    <w:rsid w:val="007A2E46"/>
    <w:rsid w:val="007A2E8C"/>
    <w:rsid w:val="007A3373"/>
    <w:rsid w:val="007A36AD"/>
    <w:rsid w:val="007A3890"/>
    <w:rsid w:val="007A4BBF"/>
    <w:rsid w:val="007A66DD"/>
    <w:rsid w:val="007A6B5F"/>
    <w:rsid w:val="007A6DFA"/>
    <w:rsid w:val="007A779F"/>
    <w:rsid w:val="007A7E66"/>
    <w:rsid w:val="007B08E7"/>
    <w:rsid w:val="007B147C"/>
    <w:rsid w:val="007B1804"/>
    <w:rsid w:val="007B1B95"/>
    <w:rsid w:val="007B505F"/>
    <w:rsid w:val="007B54EB"/>
    <w:rsid w:val="007B5748"/>
    <w:rsid w:val="007B615D"/>
    <w:rsid w:val="007B7EB7"/>
    <w:rsid w:val="007C0436"/>
    <w:rsid w:val="007C15FB"/>
    <w:rsid w:val="007C1707"/>
    <w:rsid w:val="007C379A"/>
    <w:rsid w:val="007C3C96"/>
    <w:rsid w:val="007C4007"/>
    <w:rsid w:val="007C4CA8"/>
    <w:rsid w:val="007C59B4"/>
    <w:rsid w:val="007C5BDD"/>
    <w:rsid w:val="007C78E4"/>
    <w:rsid w:val="007D0428"/>
    <w:rsid w:val="007D0BAA"/>
    <w:rsid w:val="007D1E63"/>
    <w:rsid w:val="007D2180"/>
    <w:rsid w:val="007D2414"/>
    <w:rsid w:val="007D283C"/>
    <w:rsid w:val="007D2A81"/>
    <w:rsid w:val="007D323C"/>
    <w:rsid w:val="007D333D"/>
    <w:rsid w:val="007D3B0D"/>
    <w:rsid w:val="007D4BC4"/>
    <w:rsid w:val="007D580E"/>
    <w:rsid w:val="007D5847"/>
    <w:rsid w:val="007D5C29"/>
    <w:rsid w:val="007D6156"/>
    <w:rsid w:val="007D6163"/>
    <w:rsid w:val="007D671A"/>
    <w:rsid w:val="007D68A4"/>
    <w:rsid w:val="007D6C25"/>
    <w:rsid w:val="007D7012"/>
    <w:rsid w:val="007E1833"/>
    <w:rsid w:val="007E192A"/>
    <w:rsid w:val="007E2BF1"/>
    <w:rsid w:val="007E2FF0"/>
    <w:rsid w:val="007E30AE"/>
    <w:rsid w:val="007E42E7"/>
    <w:rsid w:val="007E4951"/>
    <w:rsid w:val="007E604F"/>
    <w:rsid w:val="007E6B7F"/>
    <w:rsid w:val="007E7159"/>
    <w:rsid w:val="007E7421"/>
    <w:rsid w:val="007F24D8"/>
    <w:rsid w:val="007F35A4"/>
    <w:rsid w:val="007F5078"/>
    <w:rsid w:val="007F54DA"/>
    <w:rsid w:val="007F5608"/>
    <w:rsid w:val="007F5A34"/>
    <w:rsid w:val="008003B9"/>
    <w:rsid w:val="008005ED"/>
    <w:rsid w:val="0080187D"/>
    <w:rsid w:val="0080193D"/>
    <w:rsid w:val="00801FC6"/>
    <w:rsid w:val="00802BEC"/>
    <w:rsid w:val="00802DD7"/>
    <w:rsid w:val="008032E9"/>
    <w:rsid w:val="008047D5"/>
    <w:rsid w:val="008049B6"/>
    <w:rsid w:val="0080600D"/>
    <w:rsid w:val="0080660F"/>
    <w:rsid w:val="00806AC5"/>
    <w:rsid w:val="00806B7E"/>
    <w:rsid w:val="00806FCD"/>
    <w:rsid w:val="0080798B"/>
    <w:rsid w:val="008079F8"/>
    <w:rsid w:val="00810721"/>
    <w:rsid w:val="00810C15"/>
    <w:rsid w:val="00810DF2"/>
    <w:rsid w:val="00811D7B"/>
    <w:rsid w:val="008126E4"/>
    <w:rsid w:val="00813B71"/>
    <w:rsid w:val="00813FDC"/>
    <w:rsid w:val="00815963"/>
    <w:rsid w:val="0081695C"/>
    <w:rsid w:val="008203AB"/>
    <w:rsid w:val="00821264"/>
    <w:rsid w:val="0082213E"/>
    <w:rsid w:val="00822B96"/>
    <w:rsid w:val="00822ECA"/>
    <w:rsid w:val="00823376"/>
    <w:rsid w:val="00823B43"/>
    <w:rsid w:val="00823FFC"/>
    <w:rsid w:val="008250BE"/>
    <w:rsid w:val="00825581"/>
    <w:rsid w:val="00825BE2"/>
    <w:rsid w:val="00826022"/>
    <w:rsid w:val="00827410"/>
    <w:rsid w:val="00827E88"/>
    <w:rsid w:val="00827EB6"/>
    <w:rsid w:val="00830864"/>
    <w:rsid w:val="00830A24"/>
    <w:rsid w:val="00830E33"/>
    <w:rsid w:val="00833334"/>
    <w:rsid w:val="0083429F"/>
    <w:rsid w:val="00834740"/>
    <w:rsid w:val="008364DF"/>
    <w:rsid w:val="008365B8"/>
    <w:rsid w:val="0083683E"/>
    <w:rsid w:val="00836D60"/>
    <w:rsid w:val="00840881"/>
    <w:rsid w:val="00842014"/>
    <w:rsid w:val="008429DF"/>
    <w:rsid w:val="00842B51"/>
    <w:rsid w:val="00842BD5"/>
    <w:rsid w:val="00842BDC"/>
    <w:rsid w:val="00842E8B"/>
    <w:rsid w:val="0084343E"/>
    <w:rsid w:val="0084361E"/>
    <w:rsid w:val="00844795"/>
    <w:rsid w:val="0084545E"/>
    <w:rsid w:val="00845ED0"/>
    <w:rsid w:val="00846644"/>
    <w:rsid w:val="008470D0"/>
    <w:rsid w:val="0085014A"/>
    <w:rsid w:val="008505BD"/>
    <w:rsid w:val="00851094"/>
    <w:rsid w:val="008514CF"/>
    <w:rsid w:val="00852114"/>
    <w:rsid w:val="0085344A"/>
    <w:rsid w:val="00854888"/>
    <w:rsid w:val="00856090"/>
    <w:rsid w:val="0085656E"/>
    <w:rsid w:val="008565EE"/>
    <w:rsid w:val="0085757C"/>
    <w:rsid w:val="008607CA"/>
    <w:rsid w:val="00860E79"/>
    <w:rsid w:val="00861D9E"/>
    <w:rsid w:val="00862870"/>
    <w:rsid w:val="00862FA7"/>
    <w:rsid w:val="008638AC"/>
    <w:rsid w:val="00864388"/>
    <w:rsid w:val="0086561F"/>
    <w:rsid w:val="0086799B"/>
    <w:rsid w:val="00870A85"/>
    <w:rsid w:val="00870D5C"/>
    <w:rsid w:val="00871198"/>
    <w:rsid w:val="008716EC"/>
    <w:rsid w:val="008717E5"/>
    <w:rsid w:val="008732BB"/>
    <w:rsid w:val="00873D74"/>
    <w:rsid w:val="00873D77"/>
    <w:rsid w:val="00875224"/>
    <w:rsid w:val="00875883"/>
    <w:rsid w:val="00875B1E"/>
    <w:rsid w:val="00875CEC"/>
    <w:rsid w:val="00875D0E"/>
    <w:rsid w:val="00875F12"/>
    <w:rsid w:val="008765C2"/>
    <w:rsid w:val="008770C1"/>
    <w:rsid w:val="008770E2"/>
    <w:rsid w:val="00880225"/>
    <w:rsid w:val="008804E2"/>
    <w:rsid w:val="008805A4"/>
    <w:rsid w:val="0088395F"/>
    <w:rsid w:val="00886CF7"/>
    <w:rsid w:val="00886E5E"/>
    <w:rsid w:val="00890683"/>
    <w:rsid w:val="00891360"/>
    <w:rsid w:val="008915E7"/>
    <w:rsid w:val="0089192C"/>
    <w:rsid w:val="00893A2B"/>
    <w:rsid w:val="0089423D"/>
    <w:rsid w:val="00895549"/>
    <w:rsid w:val="00895864"/>
    <w:rsid w:val="00896667"/>
    <w:rsid w:val="00897110"/>
    <w:rsid w:val="008A0E8D"/>
    <w:rsid w:val="008A25DA"/>
    <w:rsid w:val="008A28C6"/>
    <w:rsid w:val="008A2A28"/>
    <w:rsid w:val="008A320F"/>
    <w:rsid w:val="008A4C6C"/>
    <w:rsid w:val="008A4E24"/>
    <w:rsid w:val="008A5364"/>
    <w:rsid w:val="008A5A36"/>
    <w:rsid w:val="008A712E"/>
    <w:rsid w:val="008A7ED0"/>
    <w:rsid w:val="008B0050"/>
    <w:rsid w:val="008B04ED"/>
    <w:rsid w:val="008B1001"/>
    <w:rsid w:val="008B14AD"/>
    <w:rsid w:val="008B1B9E"/>
    <w:rsid w:val="008B1DBD"/>
    <w:rsid w:val="008B24DA"/>
    <w:rsid w:val="008B25F4"/>
    <w:rsid w:val="008B2A77"/>
    <w:rsid w:val="008B4DAD"/>
    <w:rsid w:val="008B4EEE"/>
    <w:rsid w:val="008B631A"/>
    <w:rsid w:val="008B6A6E"/>
    <w:rsid w:val="008B6B89"/>
    <w:rsid w:val="008B6C08"/>
    <w:rsid w:val="008C1943"/>
    <w:rsid w:val="008C1D04"/>
    <w:rsid w:val="008C1F28"/>
    <w:rsid w:val="008C26D8"/>
    <w:rsid w:val="008C3D93"/>
    <w:rsid w:val="008C4639"/>
    <w:rsid w:val="008C5BA4"/>
    <w:rsid w:val="008C5C3F"/>
    <w:rsid w:val="008C71E3"/>
    <w:rsid w:val="008D028C"/>
    <w:rsid w:val="008D040D"/>
    <w:rsid w:val="008D0B29"/>
    <w:rsid w:val="008D0E53"/>
    <w:rsid w:val="008D2065"/>
    <w:rsid w:val="008D21ED"/>
    <w:rsid w:val="008D2D81"/>
    <w:rsid w:val="008D3A19"/>
    <w:rsid w:val="008D3F2D"/>
    <w:rsid w:val="008E13A9"/>
    <w:rsid w:val="008E1D68"/>
    <w:rsid w:val="008E3473"/>
    <w:rsid w:val="008E4147"/>
    <w:rsid w:val="008E4F64"/>
    <w:rsid w:val="008E5EC1"/>
    <w:rsid w:val="008E6CE9"/>
    <w:rsid w:val="008E7429"/>
    <w:rsid w:val="008E7C14"/>
    <w:rsid w:val="008F0000"/>
    <w:rsid w:val="008F07B9"/>
    <w:rsid w:val="008F0F3E"/>
    <w:rsid w:val="008F118C"/>
    <w:rsid w:val="008F2502"/>
    <w:rsid w:val="008F3AF7"/>
    <w:rsid w:val="008F705C"/>
    <w:rsid w:val="008F7A24"/>
    <w:rsid w:val="00900CEF"/>
    <w:rsid w:val="009024BE"/>
    <w:rsid w:val="00903407"/>
    <w:rsid w:val="00903CBD"/>
    <w:rsid w:val="00904926"/>
    <w:rsid w:val="0090516D"/>
    <w:rsid w:val="00906BD1"/>
    <w:rsid w:val="00906F57"/>
    <w:rsid w:val="00910DF7"/>
    <w:rsid w:val="009129AD"/>
    <w:rsid w:val="00912D96"/>
    <w:rsid w:val="00913557"/>
    <w:rsid w:val="009147EE"/>
    <w:rsid w:val="0091794A"/>
    <w:rsid w:val="00920732"/>
    <w:rsid w:val="009212B7"/>
    <w:rsid w:val="00922177"/>
    <w:rsid w:val="009241B5"/>
    <w:rsid w:val="009245BB"/>
    <w:rsid w:val="00925269"/>
    <w:rsid w:val="00925ED9"/>
    <w:rsid w:val="009265D2"/>
    <w:rsid w:val="00927C02"/>
    <w:rsid w:val="00930B46"/>
    <w:rsid w:val="00931107"/>
    <w:rsid w:val="009323AA"/>
    <w:rsid w:val="0093250F"/>
    <w:rsid w:val="009332E6"/>
    <w:rsid w:val="0093373B"/>
    <w:rsid w:val="00937A94"/>
    <w:rsid w:val="00937F46"/>
    <w:rsid w:val="00940575"/>
    <w:rsid w:val="00940CBB"/>
    <w:rsid w:val="00941191"/>
    <w:rsid w:val="0094119A"/>
    <w:rsid w:val="00943379"/>
    <w:rsid w:val="0094417A"/>
    <w:rsid w:val="009454F9"/>
    <w:rsid w:val="00945A74"/>
    <w:rsid w:val="00947111"/>
    <w:rsid w:val="00947522"/>
    <w:rsid w:val="00950BA6"/>
    <w:rsid w:val="00950F1F"/>
    <w:rsid w:val="00951278"/>
    <w:rsid w:val="00952D81"/>
    <w:rsid w:val="00952DC0"/>
    <w:rsid w:val="00952E56"/>
    <w:rsid w:val="00953AFA"/>
    <w:rsid w:val="009540B9"/>
    <w:rsid w:val="00955376"/>
    <w:rsid w:val="00955652"/>
    <w:rsid w:val="0095668E"/>
    <w:rsid w:val="00956E9B"/>
    <w:rsid w:val="00957B93"/>
    <w:rsid w:val="00960B48"/>
    <w:rsid w:val="00960E72"/>
    <w:rsid w:val="00961001"/>
    <w:rsid w:val="009634D7"/>
    <w:rsid w:val="009646A2"/>
    <w:rsid w:val="00964968"/>
    <w:rsid w:val="00964DE7"/>
    <w:rsid w:val="009651B0"/>
    <w:rsid w:val="00965A3C"/>
    <w:rsid w:val="00970483"/>
    <w:rsid w:val="009704B2"/>
    <w:rsid w:val="00970634"/>
    <w:rsid w:val="00970A73"/>
    <w:rsid w:val="009713D9"/>
    <w:rsid w:val="0097152B"/>
    <w:rsid w:val="00972306"/>
    <w:rsid w:val="009728DC"/>
    <w:rsid w:val="009736B7"/>
    <w:rsid w:val="00973C3A"/>
    <w:rsid w:val="00974111"/>
    <w:rsid w:val="009742E2"/>
    <w:rsid w:val="00974484"/>
    <w:rsid w:val="00974D63"/>
    <w:rsid w:val="009750B5"/>
    <w:rsid w:val="00975E7B"/>
    <w:rsid w:val="009763BF"/>
    <w:rsid w:val="00976A7E"/>
    <w:rsid w:val="00977687"/>
    <w:rsid w:val="0098047B"/>
    <w:rsid w:val="00980AD2"/>
    <w:rsid w:val="009811B3"/>
    <w:rsid w:val="009818A5"/>
    <w:rsid w:val="009819B7"/>
    <w:rsid w:val="00982026"/>
    <w:rsid w:val="00982C02"/>
    <w:rsid w:val="0098315E"/>
    <w:rsid w:val="00983CE8"/>
    <w:rsid w:val="00984E34"/>
    <w:rsid w:val="009867EC"/>
    <w:rsid w:val="0098709C"/>
    <w:rsid w:val="00987A42"/>
    <w:rsid w:val="00987D9F"/>
    <w:rsid w:val="009902BB"/>
    <w:rsid w:val="00990EF5"/>
    <w:rsid w:val="00991A49"/>
    <w:rsid w:val="009923E4"/>
    <w:rsid w:val="009923F7"/>
    <w:rsid w:val="0099268A"/>
    <w:rsid w:val="00992E7D"/>
    <w:rsid w:val="00992F35"/>
    <w:rsid w:val="00993A66"/>
    <w:rsid w:val="00993AA3"/>
    <w:rsid w:val="009948D8"/>
    <w:rsid w:val="009960B1"/>
    <w:rsid w:val="00996CE6"/>
    <w:rsid w:val="00996D8C"/>
    <w:rsid w:val="0099796E"/>
    <w:rsid w:val="009A0051"/>
    <w:rsid w:val="009A0C51"/>
    <w:rsid w:val="009A1073"/>
    <w:rsid w:val="009A1C6B"/>
    <w:rsid w:val="009A1D02"/>
    <w:rsid w:val="009A236C"/>
    <w:rsid w:val="009A2595"/>
    <w:rsid w:val="009A2BD8"/>
    <w:rsid w:val="009A2E8E"/>
    <w:rsid w:val="009A3998"/>
    <w:rsid w:val="009A4028"/>
    <w:rsid w:val="009A51DF"/>
    <w:rsid w:val="009A52CD"/>
    <w:rsid w:val="009A5994"/>
    <w:rsid w:val="009A7D4A"/>
    <w:rsid w:val="009A7DE7"/>
    <w:rsid w:val="009A7EAD"/>
    <w:rsid w:val="009B126B"/>
    <w:rsid w:val="009B19F7"/>
    <w:rsid w:val="009B1EBB"/>
    <w:rsid w:val="009B52E5"/>
    <w:rsid w:val="009B6CD5"/>
    <w:rsid w:val="009B7BC4"/>
    <w:rsid w:val="009C0E6F"/>
    <w:rsid w:val="009C1765"/>
    <w:rsid w:val="009C220D"/>
    <w:rsid w:val="009C282B"/>
    <w:rsid w:val="009C2F5E"/>
    <w:rsid w:val="009C2FF3"/>
    <w:rsid w:val="009C30E6"/>
    <w:rsid w:val="009C3294"/>
    <w:rsid w:val="009C33DA"/>
    <w:rsid w:val="009C3476"/>
    <w:rsid w:val="009C3FFC"/>
    <w:rsid w:val="009C40CA"/>
    <w:rsid w:val="009C464F"/>
    <w:rsid w:val="009C4776"/>
    <w:rsid w:val="009C4E9B"/>
    <w:rsid w:val="009C5D0A"/>
    <w:rsid w:val="009C5D20"/>
    <w:rsid w:val="009C6031"/>
    <w:rsid w:val="009C6F5B"/>
    <w:rsid w:val="009C7303"/>
    <w:rsid w:val="009C7CE4"/>
    <w:rsid w:val="009D0E24"/>
    <w:rsid w:val="009D15A3"/>
    <w:rsid w:val="009D1747"/>
    <w:rsid w:val="009D21E4"/>
    <w:rsid w:val="009D382A"/>
    <w:rsid w:val="009D43FA"/>
    <w:rsid w:val="009D467A"/>
    <w:rsid w:val="009D55D3"/>
    <w:rsid w:val="009D624A"/>
    <w:rsid w:val="009D66FE"/>
    <w:rsid w:val="009D77C7"/>
    <w:rsid w:val="009E01F9"/>
    <w:rsid w:val="009E0217"/>
    <w:rsid w:val="009E1744"/>
    <w:rsid w:val="009E3C3B"/>
    <w:rsid w:val="009E40BC"/>
    <w:rsid w:val="009E748F"/>
    <w:rsid w:val="009E7962"/>
    <w:rsid w:val="009E7EC2"/>
    <w:rsid w:val="009F0010"/>
    <w:rsid w:val="009F0C6C"/>
    <w:rsid w:val="009F199A"/>
    <w:rsid w:val="009F1B64"/>
    <w:rsid w:val="009F1E4C"/>
    <w:rsid w:val="009F1F9D"/>
    <w:rsid w:val="009F2BD2"/>
    <w:rsid w:val="009F3327"/>
    <w:rsid w:val="009F3747"/>
    <w:rsid w:val="009F3B4E"/>
    <w:rsid w:val="009F61EF"/>
    <w:rsid w:val="009F6378"/>
    <w:rsid w:val="009F7FC3"/>
    <w:rsid w:val="00A00388"/>
    <w:rsid w:val="00A00C41"/>
    <w:rsid w:val="00A00C85"/>
    <w:rsid w:val="00A010E2"/>
    <w:rsid w:val="00A015C3"/>
    <w:rsid w:val="00A02F01"/>
    <w:rsid w:val="00A0308D"/>
    <w:rsid w:val="00A04151"/>
    <w:rsid w:val="00A042E2"/>
    <w:rsid w:val="00A04D58"/>
    <w:rsid w:val="00A04D80"/>
    <w:rsid w:val="00A073FA"/>
    <w:rsid w:val="00A10D81"/>
    <w:rsid w:val="00A117A9"/>
    <w:rsid w:val="00A118A0"/>
    <w:rsid w:val="00A119F1"/>
    <w:rsid w:val="00A123D2"/>
    <w:rsid w:val="00A12851"/>
    <w:rsid w:val="00A1297A"/>
    <w:rsid w:val="00A12E7F"/>
    <w:rsid w:val="00A14B90"/>
    <w:rsid w:val="00A153A3"/>
    <w:rsid w:val="00A15C2F"/>
    <w:rsid w:val="00A166D1"/>
    <w:rsid w:val="00A173C9"/>
    <w:rsid w:val="00A17CE5"/>
    <w:rsid w:val="00A17CE9"/>
    <w:rsid w:val="00A204A4"/>
    <w:rsid w:val="00A21E6A"/>
    <w:rsid w:val="00A220F8"/>
    <w:rsid w:val="00A224DC"/>
    <w:rsid w:val="00A2386A"/>
    <w:rsid w:val="00A2431F"/>
    <w:rsid w:val="00A24A41"/>
    <w:rsid w:val="00A25299"/>
    <w:rsid w:val="00A26A58"/>
    <w:rsid w:val="00A26BA3"/>
    <w:rsid w:val="00A2759F"/>
    <w:rsid w:val="00A27944"/>
    <w:rsid w:val="00A2D577"/>
    <w:rsid w:val="00A300CF"/>
    <w:rsid w:val="00A30301"/>
    <w:rsid w:val="00A30EE9"/>
    <w:rsid w:val="00A31122"/>
    <w:rsid w:val="00A31654"/>
    <w:rsid w:val="00A3172F"/>
    <w:rsid w:val="00A318C9"/>
    <w:rsid w:val="00A31A5E"/>
    <w:rsid w:val="00A32D6B"/>
    <w:rsid w:val="00A3301A"/>
    <w:rsid w:val="00A3315B"/>
    <w:rsid w:val="00A33D39"/>
    <w:rsid w:val="00A34166"/>
    <w:rsid w:val="00A347AF"/>
    <w:rsid w:val="00A34D79"/>
    <w:rsid w:val="00A34E4D"/>
    <w:rsid w:val="00A35C4D"/>
    <w:rsid w:val="00A37159"/>
    <w:rsid w:val="00A40096"/>
    <w:rsid w:val="00A404F8"/>
    <w:rsid w:val="00A40B1F"/>
    <w:rsid w:val="00A41E8D"/>
    <w:rsid w:val="00A42D37"/>
    <w:rsid w:val="00A42FBA"/>
    <w:rsid w:val="00A4316B"/>
    <w:rsid w:val="00A43C2C"/>
    <w:rsid w:val="00A43CF2"/>
    <w:rsid w:val="00A4437A"/>
    <w:rsid w:val="00A445EB"/>
    <w:rsid w:val="00A44813"/>
    <w:rsid w:val="00A44B6D"/>
    <w:rsid w:val="00A44D5C"/>
    <w:rsid w:val="00A46D02"/>
    <w:rsid w:val="00A4784E"/>
    <w:rsid w:val="00A47BB1"/>
    <w:rsid w:val="00A51E3E"/>
    <w:rsid w:val="00A536E3"/>
    <w:rsid w:val="00A53DC5"/>
    <w:rsid w:val="00A545D4"/>
    <w:rsid w:val="00A54BCC"/>
    <w:rsid w:val="00A54ECE"/>
    <w:rsid w:val="00A558A7"/>
    <w:rsid w:val="00A56841"/>
    <w:rsid w:val="00A56AE8"/>
    <w:rsid w:val="00A57793"/>
    <w:rsid w:val="00A60665"/>
    <w:rsid w:val="00A60E64"/>
    <w:rsid w:val="00A61706"/>
    <w:rsid w:val="00A62064"/>
    <w:rsid w:val="00A62154"/>
    <w:rsid w:val="00A62965"/>
    <w:rsid w:val="00A6310F"/>
    <w:rsid w:val="00A64D2F"/>
    <w:rsid w:val="00A66CEE"/>
    <w:rsid w:val="00A70298"/>
    <w:rsid w:val="00A707FF"/>
    <w:rsid w:val="00A709D1"/>
    <w:rsid w:val="00A70C10"/>
    <w:rsid w:val="00A71337"/>
    <w:rsid w:val="00A71A32"/>
    <w:rsid w:val="00A71A85"/>
    <w:rsid w:val="00A71FF4"/>
    <w:rsid w:val="00A72EBA"/>
    <w:rsid w:val="00A73480"/>
    <w:rsid w:val="00A737B1"/>
    <w:rsid w:val="00A73B75"/>
    <w:rsid w:val="00A7422C"/>
    <w:rsid w:val="00A7579B"/>
    <w:rsid w:val="00A76880"/>
    <w:rsid w:val="00A76C86"/>
    <w:rsid w:val="00A804BC"/>
    <w:rsid w:val="00A823B5"/>
    <w:rsid w:val="00A8343B"/>
    <w:rsid w:val="00A83B55"/>
    <w:rsid w:val="00A83B6F"/>
    <w:rsid w:val="00A8452B"/>
    <w:rsid w:val="00A84692"/>
    <w:rsid w:val="00A856B3"/>
    <w:rsid w:val="00A85A9C"/>
    <w:rsid w:val="00A86266"/>
    <w:rsid w:val="00A872EA"/>
    <w:rsid w:val="00A877B0"/>
    <w:rsid w:val="00A90C34"/>
    <w:rsid w:val="00A91AB2"/>
    <w:rsid w:val="00A91DF7"/>
    <w:rsid w:val="00A93C53"/>
    <w:rsid w:val="00A9476E"/>
    <w:rsid w:val="00A94798"/>
    <w:rsid w:val="00A95FFE"/>
    <w:rsid w:val="00A968B1"/>
    <w:rsid w:val="00A96B79"/>
    <w:rsid w:val="00A96EBF"/>
    <w:rsid w:val="00A9700E"/>
    <w:rsid w:val="00AA09FD"/>
    <w:rsid w:val="00AA1141"/>
    <w:rsid w:val="00AA1FB0"/>
    <w:rsid w:val="00AA2243"/>
    <w:rsid w:val="00AA2A55"/>
    <w:rsid w:val="00AA36C4"/>
    <w:rsid w:val="00AA3C4F"/>
    <w:rsid w:val="00AA4004"/>
    <w:rsid w:val="00AA52EB"/>
    <w:rsid w:val="00AA55F7"/>
    <w:rsid w:val="00AA5A1C"/>
    <w:rsid w:val="00AA5B7D"/>
    <w:rsid w:val="00AA5C54"/>
    <w:rsid w:val="00AA7506"/>
    <w:rsid w:val="00AA7C63"/>
    <w:rsid w:val="00AB0338"/>
    <w:rsid w:val="00AB2752"/>
    <w:rsid w:val="00AB44F6"/>
    <w:rsid w:val="00AB5526"/>
    <w:rsid w:val="00AB588C"/>
    <w:rsid w:val="00AB6801"/>
    <w:rsid w:val="00AB72FC"/>
    <w:rsid w:val="00AB7DCF"/>
    <w:rsid w:val="00AC05B9"/>
    <w:rsid w:val="00AC0F6C"/>
    <w:rsid w:val="00AC11B4"/>
    <w:rsid w:val="00AC1556"/>
    <w:rsid w:val="00AC1BDE"/>
    <w:rsid w:val="00AC228C"/>
    <w:rsid w:val="00AC2341"/>
    <w:rsid w:val="00AC23F4"/>
    <w:rsid w:val="00AC42A3"/>
    <w:rsid w:val="00AC520C"/>
    <w:rsid w:val="00AC61BF"/>
    <w:rsid w:val="00AC668C"/>
    <w:rsid w:val="00AD0AD2"/>
    <w:rsid w:val="00AD1FBF"/>
    <w:rsid w:val="00AD2376"/>
    <w:rsid w:val="00AD2CCF"/>
    <w:rsid w:val="00AD3082"/>
    <w:rsid w:val="00AD35AD"/>
    <w:rsid w:val="00AD4D87"/>
    <w:rsid w:val="00AD4ECC"/>
    <w:rsid w:val="00AD6B87"/>
    <w:rsid w:val="00AD7905"/>
    <w:rsid w:val="00AE0900"/>
    <w:rsid w:val="00AE0E16"/>
    <w:rsid w:val="00AE0E35"/>
    <w:rsid w:val="00AE3265"/>
    <w:rsid w:val="00AE37A3"/>
    <w:rsid w:val="00AE39AC"/>
    <w:rsid w:val="00AE3E60"/>
    <w:rsid w:val="00AE4580"/>
    <w:rsid w:val="00AF0D68"/>
    <w:rsid w:val="00AF1ECE"/>
    <w:rsid w:val="00AF284E"/>
    <w:rsid w:val="00AF2B04"/>
    <w:rsid w:val="00AF40A0"/>
    <w:rsid w:val="00AF4569"/>
    <w:rsid w:val="00AF52A4"/>
    <w:rsid w:val="00AF538F"/>
    <w:rsid w:val="00AF558E"/>
    <w:rsid w:val="00AF653D"/>
    <w:rsid w:val="00AF6C1F"/>
    <w:rsid w:val="00AF6DF7"/>
    <w:rsid w:val="00AF786C"/>
    <w:rsid w:val="00B00981"/>
    <w:rsid w:val="00B00B0C"/>
    <w:rsid w:val="00B00E41"/>
    <w:rsid w:val="00B01670"/>
    <w:rsid w:val="00B01D27"/>
    <w:rsid w:val="00B02F2C"/>
    <w:rsid w:val="00B03158"/>
    <w:rsid w:val="00B03C96"/>
    <w:rsid w:val="00B03E84"/>
    <w:rsid w:val="00B04C0D"/>
    <w:rsid w:val="00B04F4C"/>
    <w:rsid w:val="00B05127"/>
    <w:rsid w:val="00B061C3"/>
    <w:rsid w:val="00B074F8"/>
    <w:rsid w:val="00B07D79"/>
    <w:rsid w:val="00B110E1"/>
    <w:rsid w:val="00B1118B"/>
    <w:rsid w:val="00B118A2"/>
    <w:rsid w:val="00B13D77"/>
    <w:rsid w:val="00B142CA"/>
    <w:rsid w:val="00B1499E"/>
    <w:rsid w:val="00B151E8"/>
    <w:rsid w:val="00B15369"/>
    <w:rsid w:val="00B15F6B"/>
    <w:rsid w:val="00B16E92"/>
    <w:rsid w:val="00B20001"/>
    <w:rsid w:val="00B20583"/>
    <w:rsid w:val="00B20D4C"/>
    <w:rsid w:val="00B21A75"/>
    <w:rsid w:val="00B21E01"/>
    <w:rsid w:val="00B2419F"/>
    <w:rsid w:val="00B244B6"/>
    <w:rsid w:val="00B2487C"/>
    <w:rsid w:val="00B24E50"/>
    <w:rsid w:val="00B25F13"/>
    <w:rsid w:val="00B26357"/>
    <w:rsid w:val="00B26722"/>
    <w:rsid w:val="00B268D7"/>
    <w:rsid w:val="00B2721A"/>
    <w:rsid w:val="00B3055B"/>
    <w:rsid w:val="00B30630"/>
    <w:rsid w:val="00B30D32"/>
    <w:rsid w:val="00B30EE3"/>
    <w:rsid w:val="00B310A9"/>
    <w:rsid w:val="00B3230A"/>
    <w:rsid w:val="00B323C0"/>
    <w:rsid w:val="00B32617"/>
    <w:rsid w:val="00B3275E"/>
    <w:rsid w:val="00B333F9"/>
    <w:rsid w:val="00B34E2C"/>
    <w:rsid w:val="00B354F9"/>
    <w:rsid w:val="00B35E6B"/>
    <w:rsid w:val="00B4024D"/>
    <w:rsid w:val="00B404BC"/>
    <w:rsid w:val="00B408FD"/>
    <w:rsid w:val="00B4133A"/>
    <w:rsid w:val="00B41D7B"/>
    <w:rsid w:val="00B42EC3"/>
    <w:rsid w:val="00B437E4"/>
    <w:rsid w:val="00B439FA"/>
    <w:rsid w:val="00B43D3F"/>
    <w:rsid w:val="00B44587"/>
    <w:rsid w:val="00B44AC0"/>
    <w:rsid w:val="00B4555F"/>
    <w:rsid w:val="00B45DED"/>
    <w:rsid w:val="00B513EE"/>
    <w:rsid w:val="00B51C34"/>
    <w:rsid w:val="00B53178"/>
    <w:rsid w:val="00B53A60"/>
    <w:rsid w:val="00B5405C"/>
    <w:rsid w:val="00B552C5"/>
    <w:rsid w:val="00B55309"/>
    <w:rsid w:val="00B5538A"/>
    <w:rsid w:val="00B56744"/>
    <w:rsid w:val="00B56950"/>
    <w:rsid w:val="00B56C64"/>
    <w:rsid w:val="00B57C17"/>
    <w:rsid w:val="00B605CC"/>
    <w:rsid w:val="00B60CF1"/>
    <w:rsid w:val="00B60EF7"/>
    <w:rsid w:val="00B6154E"/>
    <w:rsid w:val="00B6167E"/>
    <w:rsid w:val="00B64923"/>
    <w:rsid w:val="00B64E4F"/>
    <w:rsid w:val="00B66049"/>
    <w:rsid w:val="00B67091"/>
    <w:rsid w:val="00B6771E"/>
    <w:rsid w:val="00B70321"/>
    <w:rsid w:val="00B708CA"/>
    <w:rsid w:val="00B70E9F"/>
    <w:rsid w:val="00B71227"/>
    <w:rsid w:val="00B71859"/>
    <w:rsid w:val="00B71C2E"/>
    <w:rsid w:val="00B71D21"/>
    <w:rsid w:val="00B720AE"/>
    <w:rsid w:val="00B723A8"/>
    <w:rsid w:val="00B72AE7"/>
    <w:rsid w:val="00B72C34"/>
    <w:rsid w:val="00B73E31"/>
    <w:rsid w:val="00B73FD9"/>
    <w:rsid w:val="00B74303"/>
    <w:rsid w:val="00B763F4"/>
    <w:rsid w:val="00B779CA"/>
    <w:rsid w:val="00B77BB0"/>
    <w:rsid w:val="00B807F4"/>
    <w:rsid w:val="00B808CC"/>
    <w:rsid w:val="00B80959"/>
    <w:rsid w:val="00B81129"/>
    <w:rsid w:val="00B8115B"/>
    <w:rsid w:val="00B82D1E"/>
    <w:rsid w:val="00B82D2C"/>
    <w:rsid w:val="00B83E32"/>
    <w:rsid w:val="00B850F7"/>
    <w:rsid w:val="00B8520E"/>
    <w:rsid w:val="00B862E1"/>
    <w:rsid w:val="00B8651A"/>
    <w:rsid w:val="00B86C71"/>
    <w:rsid w:val="00B87783"/>
    <w:rsid w:val="00B87E35"/>
    <w:rsid w:val="00B90911"/>
    <w:rsid w:val="00B90912"/>
    <w:rsid w:val="00B911B7"/>
    <w:rsid w:val="00B91317"/>
    <w:rsid w:val="00B913DF"/>
    <w:rsid w:val="00B918F6"/>
    <w:rsid w:val="00B9196C"/>
    <w:rsid w:val="00B9201A"/>
    <w:rsid w:val="00B929A7"/>
    <w:rsid w:val="00B92D42"/>
    <w:rsid w:val="00B93262"/>
    <w:rsid w:val="00B93527"/>
    <w:rsid w:val="00B94099"/>
    <w:rsid w:val="00B94287"/>
    <w:rsid w:val="00B9684C"/>
    <w:rsid w:val="00B96BB4"/>
    <w:rsid w:val="00B96BE3"/>
    <w:rsid w:val="00B9724E"/>
    <w:rsid w:val="00BA044D"/>
    <w:rsid w:val="00BA0BA6"/>
    <w:rsid w:val="00BA0DCC"/>
    <w:rsid w:val="00BA12E7"/>
    <w:rsid w:val="00BA1302"/>
    <w:rsid w:val="00BA1D7F"/>
    <w:rsid w:val="00BA1E31"/>
    <w:rsid w:val="00BA315E"/>
    <w:rsid w:val="00BA4502"/>
    <w:rsid w:val="00BA4858"/>
    <w:rsid w:val="00BA4B3C"/>
    <w:rsid w:val="00BA4C06"/>
    <w:rsid w:val="00BA4C82"/>
    <w:rsid w:val="00BA651F"/>
    <w:rsid w:val="00BA74FB"/>
    <w:rsid w:val="00BA79C3"/>
    <w:rsid w:val="00BA7FCB"/>
    <w:rsid w:val="00BB0429"/>
    <w:rsid w:val="00BB0EA2"/>
    <w:rsid w:val="00BB17C5"/>
    <w:rsid w:val="00BB1E01"/>
    <w:rsid w:val="00BB2606"/>
    <w:rsid w:val="00BB2A42"/>
    <w:rsid w:val="00BB4319"/>
    <w:rsid w:val="00BB4F36"/>
    <w:rsid w:val="00BB5A10"/>
    <w:rsid w:val="00BB6115"/>
    <w:rsid w:val="00BB7123"/>
    <w:rsid w:val="00BB7E9E"/>
    <w:rsid w:val="00BC0572"/>
    <w:rsid w:val="00BC0C57"/>
    <w:rsid w:val="00BC1FA4"/>
    <w:rsid w:val="00BC2047"/>
    <w:rsid w:val="00BC2262"/>
    <w:rsid w:val="00BC548E"/>
    <w:rsid w:val="00BC60CB"/>
    <w:rsid w:val="00BC778B"/>
    <w:rsid w:val="00BC79FE"/>
    <w:rsid w:val="00BC7D29"/>
    <w:rsid w:val="00BD020B"/>
    <w:rsid w:val="00BD0582"/>
    <w:rsid w:val="00BD090E"/>
    <w:rsid w:val="00BD1B7A"/>
    <w:rsid w:val="00BD238F"/>
    <w:rsid w:val="00BD2487"/>
    <w:rsid w:val="00BD25FC"/>
    <w:rsid w:val="00BD2803"/>
    <w:rsid w:val="00BD42F9"/>
    <w:rsid w:val="00BD45A2"/>
    <w:rsid w:val="00BD57A8"/>
    <w:rsid w:val="00BD64F4"/>
    <w:rsid w:val="00BD6604"/>
    <w:rsid w:val="00BD7293"/>
    <w:rsid w:val="00BD7371"/>
    <w:rsid w:val="00BD73E5"/>
    <w:rsid w:val="00BE0A4B"/>
    <w:rsid w:val="00BE2221"/>
    <w:rsid w:val="00BE23B7"/>
    <w:rsid w:val="00BE2837"/>
    <w:rsid w:val="00BE4416"/>
    <w:rsid w:val="00BE4534"/>
    <w:rsid w:val="00BE4D4C"/>
    <w:rsid w:val="00BE4D66"/>
    <w:rsid w:val="00BE5539"/>
    <w:rsid w:val="00BE55D7"/>
    <w:rsid w:val="00BE5B52"/>
    <w:rsid w:val="00BE5C3F"/>
    <w:rsid w:val="00BE6546"/>
    <w:rsid w:val="00BE7201"/>
    <w:rsid w:val="00BE7517"/>
    <w:rsid w:val="00BF0350"/>
    <w:rsid w:val="00BF0B08"/>
    <w:rsid w:val="00BF0B4F"/>
    <w:rsid w:val="00BF1F6D"/>
    <w:rsid w:val="00BF20F7"/>
    <w:rsid w:val="00BF2BD1"/>
    <w:rsid w:val="00BF36B7"/>
    <w:rsid w:val="00BF3B30"/>
    <w:rsid w:val="00BF3C85"/>
    <w:rsid w:val="00BF7865"/>
    <w:rsid w:val="00C00EB7"/>
    <w:rsid w:val="00C1072A"/>
    <w:rsid w:val="00C11166"/>
    <w:rsid w:val="00C111FD"/>
    <w:rsid w:val="00C1141D"/>
    <w:rsid w:val="00C11EC0"/>
    <w:rsid w:val="00C1206D"/>
    <w:rsid w:val="00C122E0"/>
    <w:rsid w:val="00C1245B"/>
    <w:rsid w:val="00C12942"/>
    <w:rsid w:val="00C12AF1"/>
    <w:rsid w:val="00C131DC"/>
    <w:rsid w:val="00C13870"/>
    <w:rsid w:val="00C142A9"/>
    <w:rsid w:val="00C1454A"/>
    <w:rsid w:val="00C171EF"/>
    <w:rsid w:val="00C171FF"/>
    <w:rsid w:val="00C17974"/>
    <w:rsid w:val="00C17FCA"/>
    <w:rsid w:val="00C20A5A"/>
    <w:rsid w:val="00C20BEA"/>
    <w:rsid w:val="00C21597"/>
    <w:rsid w:val="00C21625"/>
    <w:rsid w:val="00C255BC"/>
    <w:rsid w:val="00C264C6"/>
    <w:rsid w:val="00C3012D"/>
    <w:rsid w:val="00C306FB"/>
    <w:rsid w:val="00C31155"/>
    <w:rsid w:val="00C31D82"/>
    <w:rsid w:val="00C331E7"/>
    <w:rsid w:val="00C33CBA"/>
    <w:rsid w:val="00C340F9"/>
    <w:rsid w:val="00C344FD"/>
    <w:rsid w:val="00C3512C"/>
    <w:rsid w:val="00C3576A"/>
    <w:rsid w:val="00C358F3"/>
    <w:rsid w:val="00C3592C"/>
    <w:rsid w:val="00C430BD"/>
    <w:rsid w:val="00C43946"/>
    <w:rsid w:val="00C442C9"/>
    <w:rsid w:val="00C454C6"/>
    <w:rsid w:val="00C46EC0"/>
    <w:rsid w:val="00C5147F"/>
    <w:rsid w:val="00C51CE2"/>
    <w:rsid w:val="00C51EC0"/>
    <w:rsid w:val="00C52188"/>
    <w:rsid w:val="00C5228A"/>
    <w:rsid w:val="00C523CD"/>
    <w:rsid w:val="00C53878"/>
    <w:rsid w:val="00C53A64"/>
    <w:rsid w:val="00C5499B"/>
    <w:rsid w:val="00C553A6"/>
    <w:rsid w:val="00C56152"/>
    <w:rsid w:val="00C5692A"/>
    <w:rsid w:val="00C57B7F"/>
    <w:rsid w:val="00C57ECD"/>
    <w:rsid w:val="00C603F6"/>
    <w:rsid w:val="00C60E41"/>
    <w:rsid w:val="00C61D76"/>
    <w:rsid w:val="00C62F45"/>
    <w:rsid w:val="00C632CB"/>
    <w:rsid w:val="00C639C9"/>
    <w:rsid w:val="00C63C40"/>
    <w:rsid w:val="00C64101"/>
    <w:rsid w:val="00C6487F"/>
    <w:rsid w:val="00C649C8"/>
    <w:rsid w:val="00C65739"/>
    <w:rsid w:val="00C6617B"/>
    <w:rsid w:val="00C66466"/>
    <w:rsid w:val="00C6653D"/>
    <w:rsid w:val="00C66826"/>
    <w:rsid w:val="00C67A12"/>
    <w:rsid w:val="00C67B61"/>
    <w:rsid w:val="00C712B5"/>
    <w:rsid w:val="00C72812"/>
    <w:rsid w:val="00C72E58"/>
    <w:rsid w:val="00C730F1"/>
    <w:rsid w:val="00C7321C"/>
    <w:rsid w:val="00C73CE8"/>
    <w:rsid w:val="00C740E9"/>
    <w:rsid w:val="00C74118"/>
    <w:rsid w:val="00C75C25"/>
    <w:rsid w:val="00C80E4D"/>
    <w:rsid w:val="00C811BE"/>
    <w:rsid w:val="00C817BC"/>
    <w:rsid w:val="00C823B1"/>
    <w:rsid w:val="00C824DC"/>
    <w:rsid w:val="00C82CDD"/>
    <w:rsid w:val="00C841CB"/>
    <w:rsid w:val="00C8581C"/>
    <w:rsid w:val="00C86841"/>
    <w:rsid w:val="00C87A9F"/>
    <w:rsid w:val="00C90089"/>
    <w:rsid w:val="00C91EFE"/>
    <w:rsid w:val="00C920CE"/>
    <w:rsid w:val="00C935BD"/>
    <w:rsid w:val="00C9440E"/>
    <w:rsid w:val="00C9494A"/>
    <w:rsid w:val="00C949FA"/>
    <w:rsid w:val="00C955C6"/>
    <w:rsid w:val="00C958EC"/>
    <w:rsid w:val="00C95EF1"/>
    <w:rsid w:val="00C96072"/>
    <w:rsid w:val="00C96F3B"/>
    <w:rsid w:val="00C976B0"/>
    <w:rsid w:val="00CA0706"/>
    <w:rsid w:val="00CA0D90"/>
    <w:rsid w:val="00CA10E0"/>
    <w:rsid w:val="00CA1A57"/>
    <w:rsid w:val="00CA50BD"/>
    <w:rsid w:val="00CA6C87"/>
    <w:rsid w:val="00CA6E1F"/>
    <w:rsid w:val="00CA732C"/>
    <w:rsid w:val="00CA7983"/>
    <w:rsid w:val="00CB01BC"/>
    <w:rsid w:val="00CB1B9D"/>
    <w:rsid w:val="00CB236A"/>
    <w:rsid w:val="00CB2A96"/>
    <w:rsid w:val="00CB2CAF"/>
    <w:rsid w:val="00CB31DA"/>
    <w:rsid w:val="00CB38D1"/>
    <w:rsid w:val="00CB3CDA"/>
    <w:rsid w:val="00CB3E57"/>
    <w:rsid w:val="00CB5B6C"/>
    <w:rsid w:val="00CB685D"/>
    <w:rsid w:val="00CB68B5"/>
    <w:rsid w:val="00CC015D"/>
    <w:rsid w:val="00CC0DF6"/>
    <w:rsid w:val="00CC1143"/>
    <w:rsid w:val="00CC1736"/>
    <w:rsid w:val="00CC1CC3"/>
    <w:rsid w:val="00CC2436"/>
    <w:rsid w:val="00CC2503"/>
    <w:rsid w:val="00CC294F"/>
    <w:rsid w:val="00CC2DA7"/>
    <w:rsid w:val="00CC37EF"/>
    <w:rsid w:val="00CC5A94"/>
    <w:rsid w:val="00CC6007"/>
    <w:rsid w:val="00CC73B2"/>
    <w:rsid w:val="00CC7F5B"/>
    <w:rsid w:val="00CC7FB7"/>
    <w:rsid w:val="00CD0177"/>
    <w:rsid w:val="00CD20B5"/>
    <w:rsid w:val="00CD2708"/>
    <w:rsid w:val="00CD30A3"/>
    <w:rsid w:val="00CD35F5"/>
    <w:rsid w:val="00CD3F9C"/>
    <w:rsid w:val="00CD46F4"/>
    <w:rsid w:val="00CD51E9"/>
    <w:rsid w:val="00CD52FF"/>
    <w:rsid w:val="00CD5796"/>
    <w:rsid w:val="00CD5A04"/>
    <w:rsid w:val="00CD5C0F"/>
    <w:rsid w:val="00CD61C3"/>
    <w:rsid w:val="00CD61E1"/>
    <w:rsid w:val="00CD6AFD"/>
    <w:rsid w:val="00CD6E0A"/>
    <w:rsid w:val="00CD79C8"/>
    <w:rsid w:val="00CE0E4E"/>
    <w:rsid w:val="00CE1459"/>
    <w:rsid w:val="00CE15B9"/>
    <w:rsid w:val="00CE1EC2"/>
    <w:rsid w:val="00CE1F78"/>
    <w:rsid w:val="00CE2671"/>
    <w:rsid w:val="00CE3912"/>
    <w:rsid w:val="00CE3EF8"/>
    <w:rsid w:val="00CE540D"/>
    <w:rsid w:val="00CE5BBA"/>
    <w:rsid w:val="00CE5D5A"/>
    <w:rsid w:val="00CE6E5A"/>
    <w:rsid w:val="00CF0BC3"/>
    <w:rsid w:val="00CF17AF"/>
    <w:rsid w:val="00CF2198"/>
    <w:rsid w:val="00CF2351"/>
    <w:rsid w:val="00CF2F55"/>
    <w:rsid w:val="00CF39F4"/>
    <w:rsid w:val="00CF3A39"/>
    <w:rsid w:val="00CF4769"/>
    <w:rsid w:val="00CF4F2F"/>
    <w:rsid w:val="00CF5069"/>
    <w:rsid w:val="00CF551B"/>
    <w:rsid w:val="00CF63B9"/>
    <w:rsid w:val="00CF6979"/>
    <w:rsid w:val="00CF78FB"/>
    <w:rsid w:val="00D019A4"/>
    <w:rsid w:val="00D01BC4"/>
    <w:rsid w:val="00D01FAD"/>
    <w:rsid w:val="00D02399"/>
    <w:rsid w:val="00D03353"/>
    <w:rsid w:val="00D03F05"/>
    <w:rsid w:val="00D04211"/>
    <w:rsid w:val="00D04ADC"/>
    <w:rsid w:val="00D051EB"/>
    <w:rsid w:val="00D060CA"/>
    <w:rsid w:val="00D0658D"/>
    <w:rsid w:val="00D06FE5"/>
    <w:rsid w:val="00D070C8"/>
    <w:rsid w:val="00D110EC"/>
    <w:rsid w:val="00D11AEB"/>
    <w:rsid w:val="00D11E56"/>
    <w:rsid w:val="00D13BCA"/>
    <w:rsid w:val="00D13C10"/>
    <w:rsid w:val="00D14392"/>
    <w:rsid w:val="00D157D8"/>
    <w:rsid w:val="00D16C33"/>
    <w:rsid w:val="00D17073"/>
    <w:rsid w:val="00D17218"/>
    <w:rsid w:val="00D17DB1"/>
    <w:rsid w:val="00D20140"/>
    <w:rsid w:val="00D208DA"/>
    <w:rsid w:val="00D2168F"/>
    <w:rsid w:val="00D23879"/>
    <w:rsid w:val="00D240A3"/>
    <w:rsid w:val="00D245E8"/>
    <w:rsid w:val="00D251B2"/>
    <w:rsid w:val="00D252EA"/>
    <w:rsid w:val="00D254D6"/>
    <w:rsid w:val="00D26D99"/>
    <w:rsid w:val="00D273BE"/>
    <w:rsid w:val="00D2784A"/>
    <w:rsid w:val="00D278AD"/>
    <w:rsid w:val="00D27F06"/>
    <w:rsid w:val="00D30D34"/>
    <w:rsid w:val="00D31452"/>
    <w:rsid w:val="00D31BC1"/>
    <w:rsid w:val="00D326C2"/>
    <w:rsid w:val="00D32C80"/>
    <w:rsid w:val="00D32E4A"/>
    <w:rsid w:val="00D33866"/>
    <w:rsid w:val="00D34199"/>
    <w:rsid w:val="00D35293"/>
    <w:rsid w:val="00D35820"/>
    <w:rsid w:val="00D35994"/>
    <w:rsid w:val="00D35E71"/>
    <w:rsid w:val="00D36FEE"/>
    <w:rsid w:val="00D3748D"/>
    <w:rsid w:val="00D40948"/>
    <w:rsid w:val="00D40AF7"/>
    <w:rsid w:val="00D4162B"/>
    <w:rsid w:val="00D430A7"/>
    <w:rsid w:val="00D435DE"/>
    <w:rsid w:val="00D43EED"/>
    <w:rsid w:val="00D4481D"/>
    <w:rsid w:val="00D45568"/>
    <w:rsid w:val="00D45D20"/>
    <w:rsid w:val="00D4618A"/>
    <w:rsid w:val="00D46283"/>
    <w:rsid w:val="00D468F0"/>
    <w:rsid w:val="00D46F6F"/>
    <w:rsid w:val="00D477E3"/>
    <w:rsid w:val="00D5026D"/>
    <w:rsid w:val="00D50A0B"/>
    <w:rsid w:val="00D519B9"/>
    <w:rsid w:val="00D51B78"/>
    <w:rsid w:val="00D51FE0"/>
    <w:rsid w:val="00D52660"/>
    <w:rsid w:val="00D53096"/>
    <w:rsid w:val="00D533BF"/>
    <w:rsid w:val="00D53D12"/>
    <w:rsid w:val="00D53D36"/>
    <w:rsid w:val="00D541ED"/>
    <w:rsid w:val="00D54206"/>
    <w:rsid w:val="00D5502B"/>
    <w:rsid w:val="00D55C3E"/>
    <w:rsid w:val="00D60E85"/>
    <w:rsid w:val="00D61B36"/>
    <w:rsid w:val="00D627B5"/>
    <w:rsid w:val="00D62822"/>
    <w:rsid w:val="00D62B02"/>
    <w:rsid w:val="00D62D2D"/>
    <w:rsid w:val="00D6301B"/>
    <w:rsid w:val="00D64CEB"/>
    <w:rsid w:val="00D65539"/>
    <w:rsid w:val="00D65BF0"/>
    <w:rsid w:val="00D674D1"/>
    <w:rsid w:val="00D67BD2"/>
    <w:rsid w:val="00D67EAA"/>
    <w:rsid w:val="00D70253"/>
    <w:rsid w:val="00D70C1F"/>
    <w:rsid w:val="00D71D9A"/>
    <w:rsid w:val="00D71EE2"/>
    <w:rsid w:val="00D726EA"/>
    <w:rsid w:val="00D73082"/>
    <w:rsid w:val="00D73F09"/>
    <w:rsid w:val="00D7450D"/>
    <w:rsid w:val="00D748B8"/>
    <w:rsid w:val="00D74A13"/>
    <w:rsid w:val="00D7538F"/>
    <w:rsid w:val="00D75849"/>
    <w:rsid w:val="00D77D71"/>
    <w:rsid w:val="00D80139"/>
    <w:rsid w:val="00D82797"/>
    <w:rsid w:val="00D82984"/>
    <w:rsid w:val="00D830B6"/>
    <w:rsid w:val="00D83DF8"/>
    <w:rsid w:val="00D8405D"/>
    <w:rsid w:val="00D84141"/>
    <w:rsid w:val="00D842A7"/>
    <w:rsid w:val="00D86E66"/>
    <w:rsid w:val="00D918B0"/>
    <w:rsid w:val="00D9238F"/>
    <w:rsid w:val="00D92D08"/>
    <w:rsid w:val="00D93380"/>
    <w:rsid w:val="00D93851"/>
    <w:rsid w:val="00D93FFA"/>
    <w:rsid w:val="00D9447F"/>
    <w:rsid w:val="00D95100"/>
    <w:rsid w:val="00D954B2"/>
    <w:rsid w:val="00D95898"/>
    <w:rsid w:val="00D96FA9"/>
    <w:rsid w:val="00DA0486"/>
    <w:rsid w:val="00DA1405"/>
    <w:rsid w:val="00DA1947"/>
    <w:rsid w:val="00DA447F"/>
    <w:rsid w:val="00DA4DCC"/>
    <w:rsid w:val="00DA57FF"/>
    <w:rsid w:val="00DA5802"/>
    <w:rsid w:val="00DB08DE"/>
    <w:rsid w:val="00DB160B"/>
    <w:rsid w:val="00DB2506"/>
    <w:rsid w:val="00DB2705"/>
    <w:rsid w:val="00DB2D0E"/>
    <w:rsid w:val="00DB4133"/>
    <w:rsid w:val="00DB5473"/>
    <w:rsid w:val="00DB59DA"/>
    <w:rsid w:val="00DB6C53"/>
    <w:rsid w:val="00DB737D"/>
    <w:rsid w:val="00DB73A5"/>
    <w:rsid w:val="00DB7877"/>
    <w:rsid w:val="00DC186E"/>
    <w:rsid w:val="00DC2DD6"/>
    <w:rsid w:val="00DC301A"/>
    <w:rsid w:val="00DC36F3"/>
    <w:rsid w:val="00DC3AAE"/>
    <w:rsid w:val="00DC410A"/>
    <w:rsid w:val="00DC5AED"/>
    <w:rsid w:val="00DC63FB"/>
    <w:rsid w:val="00DC67A8"/>
    <w:rsid w:val="00DC73D8"/>
    <w:rsid w:val="00DD01A8"/>
    <w:rsid w:val="00DD07AA"/>
    <w:rsid w:val="00DD17C3"/>
    <w:rsid w:val="00DD3448"/>
    <w:rsid w:val="00DD42B0"/>
    <w:rsid w:val="00DD4346"/>
    <w:rsid w:val="00DD5D95"/>
    <w:rsid w:val="00DD7DF0"/>
    <w:rsid w:val="00DE06DC"/>
    <w:rsid w:val="00DE10FB"/>
    <w:rsid w:val="00DE1F71"/>
    <w:rsid w:val="00DE22A5"/>
    <w:rsid w:val="00DE25FF"/>
    <w:rsid w:val="00DE28BC"/>
    <w:rsid w:val="00DE2A3F"/>
    <w:rsid w:val="00DE3ACB"/>
    <w:rsid w:val="00DE40F7"/>
    <w:rsid w:val="00DE4622"/>
    <w:rsid w:val="00DE48C4"/>
    <w:rsid w:val="00DE4EFB"/>
    <w:rsid w:val="00DE5013"/>
    <w:rsid w:val="00DE55F5"/>
    <w:rsid w:val="00DE56E4"/>
    <w:rsid w:val="00DE6147"/>
    <w:rsid w:val="00DE72A7"/>
    <w:rsid w:val="00DE75BB"/>
    <w:rsid w:val="00DF14F2"/>
    <w:rsid w:val="00DF259F"/>
    <w:rsid w:val="00DF3337"/>
    <w:rsid w:val="00DF3D35"/>
    <w:rsid w:val="00DF40A5"/>
    <w:rsid w:val="00DF4686"/>
    <w:rsid w:val="00DF46AB"/>
    <w:rsid w:val="00DF4A21"/>
    <w:rsid w:val="00DF5985"/>
    <w:rsid w:val="00DF69DF"/>
    <w:rsid w:val="00DF7854"/>
    <w:rsid w:val="00E015DB"/>
    <w:rsid w:val="00E016F4"/>
    <w:rsid w:val="00E01865"/>
    <w:rsid w:val="00E01E69"/>
    <w:rsid w:val="00E02014"/>
    <w:rsid w:val="00E02A75"/>
    <w:rsid w:val="00E03E6D"/>
    <w:rsid w:val="00E067AE"/>
    <w:rsid w:val="00E074BD"/>
    <w:rsid w:val="00E074C0"/>
    <w:rsid w:val="00E079AF"/>
    <w:rsid w:val="00E0F51D"/>
    <w:rsid w:val="00E10796"/>
    <w:rsid w:val="00E11040"/>
    <w:rsid w:val="00E1132A"/>
    <w:rsid w:val="00E11743"/>
    <w:rsid w:val="00E11E2A"/>
    <w:rsid w:val="00E1267C"/>
    <w:rsid w:val="00E12B74"/>
    <w:rsid w:val="00E14AA8"/>
    <w:rsid w:val="00E15639"/>
    <w:rsid w:val="00E20728"/>
    <w:rsid w:val="00E216FD"/>
    <w:rsid w:val="00E22512"/>
    <w:rsid w:val="00E233F7"/>
    <w:rsid w:val="00E23697"/>
    <w:rsid w:val="00E23C30"/>
    <w:rsid w:val="00E2471F"/>
    <w:rsid w:val="00E256A1"/>
    <w:rsid w:val="00E26E3A"/>
    <w:rsid w:val="00E26FFC"/>
    <w:rsid w:val="00E274CE"/>
    <w:rsid w:val="00E274FD"/>
    <w:rsid w:val="00E2771B"/>
    <w:rsid w:val="00E27842"/>
    <w:rsid w:val="00E327C4"/>
    <w:rsid w:val="00E3308A"/>
    <w:rsid w:val="00E34050"/>
    <w:rsid w:val="00E34447"/>
    <w:rsid w:val="00E349CC"/>
    <w:rsid w:val="00E34BFA"/>
    <w:rsid w:val="00E352DE"/>
    <w:rsid w:val="00E35363"/>
    <w:rsid w:val="00E35B11"/>
    <w:rsid w:val="00E36171"/>
    <w:rsid w:val="00E36ADE"/>
    <w:rsid w:val="00E36F53"/>
    <w:rsid w:val="00E37699"/>
    <w:rsid w:val="00E376F4"/>
    <w:rsid w:val="00E37A6F"/>
    <w:rsid w:val="00E37DBF"/>
    <w:rsid w:val="00E40595"/>
    <w:rsid w:val="00E41C90"/>
    <w:rsid w:val="00E42897"/>
    <w:rsid w:val="00E43183"/>
    <w:rsid w:val="00E432DE"/>
    <w:rsid w:val="00E4342E"/>
    <w:rsid w:val="00E43C59"/>
    <w:rsid w:val="00E440EA"/>
    <w:rsid w:val="00E44C64"/>
    <w:rsid w:val="00E44C76"/>
    <w:rsid w:val="00E44FD1"/>
    <w:rsid w:val="00E453B8"/>
    <w:rsid w:val="00E45EE3"/>
    <w:rsid w:val="00E46191"/>
    <w:rsid w:val="00E46C57"/>
    <w:rsid w:val="00E4741D"/>
    <w:rsid w:val="00E503FB"/>
    <w:rsid w:val="00E50F11"/>
    <w:rsid w:val="00E51BA5"/>
    <w:rsid w:val="00E522C0"/>
    <w:rsid w:val="00E52529"/>
    <w:rsid w:val="00E5297D"/>
    <w:rsid w:val="00E53284"/>
    <w:rsid w:val="00E53497"/>
    <w:rsid w:val="00E53D25"/>
    <w:rsid w:val="00E53DB1"/>
    <w:rsid w:val="00E5594C"/>
    <w:rsid w:val="00E56371"/>
    <w:rsid w:val="00E57022"/>
    <w:rsid w:val="00E57A1E"/>
    <w:rsid w:val="00E57DE6"/>
    <w:rsid w:val="00E57F30"/>
    <w:rsid w:val="00E60448"/>
    <w:rsid w:val="00E61853"/>
    <w:rsid w:val="00E61DB1"/>
    <w:rsid w:val="00E61E07"/>
    <w:rsid w:val="00E62A33"/>
    <w:rsid w:val="00E62A86"/>
    <w:rsid w:val="00E645BD"/>
    <w:rsid w:val="00E64A66"/>
    <w:rsid w:val="00E64B42"/>
    <w:rsid w:val="00E70C40"/>
    <w:rsid w:val="00E717D3"/>
    <w:rsid w:val="00E72909"/>
    <w:rsid w:val="00E736B7"/>
    <w:rsid w:val="00E7386D"/>
    <w:rsid w:val="00E73E5E"/>
    <w:rsid w:val="00E740EC"/>
    <w:rsid w:val="00E74DAC"/>
    <w:rsid w:val="00E74F73"/>
    <w:rsid w:val="00E753E3"/>
    <w:rsid w:val="00E75BFF"/>
    <w:rsid w:val="00E75C53"/>
    <w:rsid w:val="00E75F15"/>
    <w:rsid w:val="00E76085"/>
    <w:rsid w:val="00E76C09"/>
    <w:rsid w:val="00E80C87"/>
    <w:rsid w:val="00E812B5"/>
    <w:rsid w:val="00E8153B"/>
    <w:rsid w:val="00E8174F"/>
    <w:rsid w:val="00E82E10"/>
    <w:rsid w:val="00E8582F"/>
    <w:rsid w:val="00E863EB"/>
    <w:rsid w:val="00E86D56"/>
    <w:rsid w:val="00E87994"/>
    <w:rsid w:val="00E906BA"/>
    <w:rsid w:val="00E911C9"/>
    <w:rsid w:val="00E91EA0"/>
    <w:rsid w:val="00E92229"/>
    <w:rsid w:val="00E92235"/>
    <w:rsid w:val="00E92345"/>
    <w:rsid w:val="00E92977"/>
    <w:rsid w:val="00E92CF3"/>
    <w:rsid w:val="00E93870"/>
    <w:rsid w:val="00E938AD"/>
    <w:rsid w:val="00E945C0"/>
    <w:rsid w:val="00E9488B"/>
    <w:rsid w:val="00E95782"/>
    <w:rsid w:val="00E959FD"/>
    <w:rsid w:val="00E95B23"/>
    <w:rsid w:val="00E961B1"/>
    <w:rsid w:val="00E961BA"/>
    <w:rsid w:val="00E963F1"/>
    <w:rsid w:val="00E96D2E"/>
    <w:rsid w:val="00E975D3"/>
    <w:rsid w:val="00E9797F"/>
    <w:rsid w:val="00E97D34"/>
    <w:rsid w:val="00EA04C5"/>
    <w:rsid w:val="00EA12AC"/>
    <w:rsid w:val="00EA14FB"/>
    <w:rsid w:val="00EA1DC3"/>
    <w:rsid w:val="00EA2805"/>
    <w:rsid w:val="00EA2F1C"/>
    <w:rsid w:val="00EA2F36"/>
    <w:rsid w:val="00EA332C"/>
    <w:rsid w:val="00EA366B"/>
    <w:rsid w:val="00EA4172"/>
    <w:rsid w:val="00EA433D"/>
    <w:rsid w:val="00EA435F"/>
    <w:rsid w:val="00EA7AA7"/>
    <w:rsid w:val="00EA7E65"/>
    <w:rsid w:val="00EA7F6A"/>
    <w:rsid w:val="00EB0436"/>
    <w:rsid w:val="00EB070E"/>
    <w:rsid w:val="00EB08FA"/>
    <w:rsid w:val="00EB1C70"/>
    <w:rsid w:val="00EB25DE"/>
    <w:rsid w:val="00EB2698"/>
    <w:rsid w:val="00EB26CA"/>
    <w:rsid w:val="00EB2762"/>
    <w:rsid w:val="00EB28E7"/>
    <w:rsid w:val="00EB2B20"/>
    <w:rsid w:val="00EB334E"/>
    <w:rsid w:val="00EB41AA"/>
    <w:rsid w:val="00EB41F1"/>
    <w:rsid w:val="00EB4373"/>
    <w:rsid w:val="00EB4FB0"/>
    <w:rsid w:val="00EB51A5"/>
    <w:rsid w:val="00EB5C9A"/>
    <w:rsid w:val="00EB5FF0"/>
    <w:rsid w:val="00EB7F5E"/>
    <w:rsid w:val="00EC06B4"/>
    <w:rsid w:val="00EC0FB0"/>
    <w:rsid w:val="00EC0FF3"/>
    <w:rsid w:val="00EC256C"/>
    <w:rsid w:val="00EC2621"/>
    <w:rsid w:val="00EC3988"/>
    <w:rsid w:val="00EC4FFC"/>
    <w:rsid w:val="00EC58A5"/>
    <w:rsid w:val="00EC594B"/>
    <w:rsid w:val="00EC5B0F"/>
    <w:rsid w:val="00EC6BF7"/>
    <w:rsid w:val="00EC77AE"/>
    <w:rsid w:val="00EC7CEB"/>
    <w:rsid w:val="00EC7F6A"/>
    <w:rsid w:val="00ED2ED9"/>
    <w:rsid w:val="00ED63DC"/>
    <w:rsid w:val="00ED6463"/>
    <w:rsid w:val="00ED659B"/>
    <w:rsid w:val="00ED75F5"/>
    <w:rsid w:val="00EE1924"/>
    <w:rsid w:val="00EE196E"/>
    <w:rsid w:val="00EE3040"/>
    <w:rsid w:val="00EE322C"/>
    <w:rsid w:val="00EE4B4E"/>
    <w:rsid w:val="00EE4C2B"/>
    <w:rsid w:val="00EE4D41"/>
    <w:rsid w:val="00EE5262"/>
    <w:rsid w:val="00EE5EED"/>
    <w:rsid w:val="00EE5F83"/>
    <w:rsid w:val="00EE7294"/>
    <w:rsid w:val="00EE7AEA"/>
    <w:rsid w:val="00EE7E35"/>
    <w:rsid w:val="00EF0A0C"/>
    <w:rsid w:val="00EF101A"/>
    <w:rsid w:val="00EF197A"/>
    <w:rsid w:val="00EF1D83"/>
    <w:rsid w:val="00EF1E84"/>
    <w:rsid w:val="00EF291F"/>
    <w:rsid w:val="00EF4DCB"/>
    <w:rsid w:val="00EF522C"/>
    <w:rsid w:val="00EF59C9"/>
    <w:rsid w:val="00EF6B5A"/>
    <w:rsid w:val="00EF6EA4"/>
    <w:rsid w:val="00EF74C8"/>
    <w:rsid w:val="00EF7999"/>
    <w:rsid w:val="00F0149E"/>
    <w:rsid w:val="00F01841"/>
    <w:rsid w:val="00F02B34"/>
    <w:rsid w:val="00F030DC"/>
    <w:rsid w:val="00F039BB"/>
    <w:rsid w:val="00F039ED"/>
    <w:rsid w:val="00F03B01"/>
    <w:rsid w:val="00F04047"/>
    <w:rsid w:val="00F0561A"/>
    <w:rsid w:val="00F0641A"/>
    <w:rsid w:val="00F06888"/>
    <w:rsid w:val="00F07697"/>
    <w:rsid w:val="00F07A31"/>
    <w:rsid w:val="00F07BA8"/>
    <w:rsid w:val="00F108AB"/>
    <w:rsid w:val="00F10E89"/>
    <w:rsid w:val="00F118C0"/>
    <w:rsid w:val="00F12A14"/>
    <w:rsid w:val="00F1307E"/>
    <w:rsid w:val="00F1319D"/>
    <w:rsid w:val="00F13D13"/>
    <w:rsid w:val="00F14F70"/>
    <w:rsid w:val="00F1659B"/>
    <w:rsid w:val="00F16E9F"/>
    <w:rsid w:val="00F176D8"/>
    <w:rsid w:val="00F17D51"/>
    <w:rsid w:val="00F209A4"/>
    <w:rsid w:val="00F20A44"/>
    <w:rsid w:val="00F21218"/>
    <w:rsid w:val="00F2127A"/>
    <w:rsid w:val="00F21952"/>
    <w:rsid w:val="00F21F1F"/>
    <w:rsid w:val="00F22EEB"/>
    <w:rsid w:val="00F236F3"/>
    <w:rsid w:val="00F24421"/>
    <w:rsid w:val="00F24CFD"/>
    <w:rsid w:val="00F25E51"/>
    <w:rsid w:val="00F26EFC"/>
    <w:rsid w:val="00F270E0"/>
    <w:rsid w:val="00F277F7"/>
    <w:rsid w:val="00F27CC8"/>
    <w:rsid w:val="00F27FB8"/>
    <w:rsid w:val="00F31316"/>
    <w:rsid w:val="00F31F9E"/>
    <w:rsid w:val="00F32009"/>
    <w:rsid w:val="00F320A0"/>
    <w:rsid w:val="00F325D8"/>
    <w:rsid w:val="00F32F01"/>
    <w:rsid w:val="00F340DD"/>
    <w:rsid w:val="00F34499"/>
    <w:rsid w:val="00F3589A"/>
    <w:rsid w:val="00F35DA6"/>
    <w:rsid w:val="00F36231"/>
    <w:rsid w:val="00F3647A"/>
    <w:rsid w:val="00F364EB"/>
    <w:rsid w:val="00F4018F"/>
    <w:rsid w:val="00F408EF"/>
    <w:rsid w:val="00F4132B"/>
    <w:rsid w:val="00F41E0D"/>
    <w:rsid w:val="00F4252B"/>
    <w:rsid w:val="00F43AE4"/>
    <w:rsid w:val="00F44330"/>
    <w:rsid w:val="00F4508E"/>
    <w:rsid w:val="00F45D22"/>
    <w:rsid w:val="00F478C7"/>
    <w:rsid w:val="00F518DA"/>
    <w:rsid w:val="00F5341D"/>
    <w:rsid w:val="00F5357F"/>
    <w:rsid w:val="00F5427E"/>
    <w:rsid w:val="00F54EBA"/>
    <w:rsid w:val="00F5520F"/>
    <w:rsid w:val="00F55260"/>
    <w:rsid w:val="00F55DFA"/>
    <w:rsid w:val="00F56185"/>
    <w:rsid w:val="00F561BA"/>
    <w:rsid w:val="00F565D6"/>
    <w:rsid w:val="00F579C0"/>
    <w:rsid w:val="00F57A84"/>
    <w:rsid w:val="00F603D7"/>
    <w:rsid w:val="00F605D5"/>
    <w:rsid w:val="00F60B0B"/>
    <w:rsid w:val="00F6143F"/>
    <w:rsid w:val="00F61A1B"/>
    <w:rsid w:val="00F62548"/>
    <w:rsid w:val="00F6275C"/>
    <w:rsid w:val="00F63F17"/>
    <w:rsid w:val="00F64703"/>
    <w:rsid w:val="00F64A9F"/>
    <w:rsid w:val="00F6534B"/>
    <w:rsid w:val="00F65695"/>
    <w:rsid w:val="00F676C6"/>
    <w:rsid w:val="00F67D62"/>
    <w:rsid w:val="00F67E26"/>
    <w:rsid w:val="00F701FE"/>
    <w:rsid w:val="00F70B6A"/>
    <w:rsid w:val="00F70C05"/>
    <w:rsid w:val="00F71A5E"/>
    <w:rsid w:val="00F725DD"/>
    <w:rsid w:val="00F73953"/>
    <w:rsid w:val="00F73EF8"/>
    <w:rsid w:val="00F73F31"/>
    <w:rsid w:val="00F74CB2"/>
    <w:rsid w:val="00F76640"/>
    <w:rsid w:val="00F8015B"/>
    <w:rsid w:val="00F80D17"/>
    <w:rsid w:val="00F80E04"/>
    <w:rsid w:val="00F81154"/>
    <w:rsid w:val="00F818AE"/>
    <w:rsid w:val="00F819FC"/>
    <w:rsid w:val="00F833C8"/>
    <w:rsid w:val="00F83AA4"/>
    <w:rsid w:val="00F842C0"/>
    <w:rsid w:val="00F85119"/>
    <w:rsid w:val="00F865FA"/>
    <w:rsid w:val="00F869F6"/>
    <w:rsid w:val="00F87E36"/>
    <w:rsid w:val="00F91387"/>
    <w:rsid w:val="00F918EB"/>
    <w:rsid w:val="00F91ACA"/>
    <w:rsid w:val="00F92FC2"/>
    <w:rsid w:val="00F93F60"/>
    <w:rsid w:val="00F94178"/>
    <w:rsid w:val="00F943C7"/>
    <w:rsid w:val="00F97A06"/>
    <w:rsid w:val="00FA0292"/>
    <w:rsid w:val="00FA02D0"/>
    <w:rsid w:val="00FA0E18"/>
    <w:rsid w:val="00FA15C0"/>
    <w:rsid w:val="00FA42DD"/>
    <w:rsid w:val="00FA58F4"/>
    <w:rsid w:val="00FA65D3"/>
    <w:rsid w:val="00FA73E6"/>
    <w:rsid w:val="00FA7F80"/>
    <w:rsid w:val="00FB01BB"/>
    <w:rsid w:val="00FB104B"/>
    <w:rsid w:val="00FB21BA"/>
    <w:rsid w:val="00FB2A8D"/>
    <w:rsid w:val="00FB2C28"/>
    <w:rsid w:val="00FB2E16"/>
    <w:rsid w:val="00FB3019"/>
    <w:rsid w:val="00FB34A9"/>
    <w:rsid w:val="00FB3A89"/>
    <w:rsid w:val="00FB4451"/>
    <w:rsid w:val="00FB4CBE"/>
    <w:rsid w:val="00FB6A06"/>
    <w:rsid w:val="00FB75E7"/>
    <w:rsid w:val="00FB7A78"/>
    <w:rsid w:val="00FC0503"/>
    <w:rsid w:val="00FC0AE6"/>
    <w:rsid w:val="00FC18FC"/>
    <w:rsid w:val="00FC21FE"/>
    <w:rsid w:val="00FC2844"/>
    <w:rsid w:val="00FC2F56"/>
    <w:rsid w:val="00FC303A"/>
    <w:rsid w:val="00FC30B4"/>
    <w:rsid w:val="00FC4B73"/>
    <w:rsid w:val="00FC4E06"/>
    <w:rsid w:val="00FC5C33"/>
    <w:rsid w:val="00FC61A9"/>
    <w:rsid w:val="00FC75C7"/>
    <w:rsid w:val="00FC76CA"/>
    <w:rsid w:val="00FD08C1"/>
    <w:rsid w:val="00FD0935"/>
    <w:rsid w:val="00FD1459"/>
    <w:rsid w:val="00FD18E4"/>
    <w:rsid w:val="00FD1A92"/>
    <w:rsid w:val="00FD2B4D"/>
    <w:rsid w:val="00FD4AB8"/>
    <w:rsid w:val="00FD4D63"/>
    <w:rsid w:val="00FD4F01"/>
    <w:rsid w:val="00FD50E1"/>
    <w:rsid w:val="00FD53B6"/>
    <w:rsid w:val="00FD63FA"/>
    <w:rsid w:val="00FD6A27"/>
    <w:rsid w:val="00FE042A"/>
    <w:rsid w:val="00FE1E3C"/>
    <w:rsid w:val="00FE32AB"/>
    <w:rsid w:val="00FE3B32"/>
    <w:rsid w:val="00FE3FFA"/>
    <w:rsid w:val="00FE49E0"/>
    <w:rsid w:val="00FE540F"/>
    <w:rsid w:val="00FE5535"/>
    <w:rsid w:val="00FE5577"/>
    <w:rsid w:val="00FE5EB6"/>
    <w:rsid w:val="00FE7A62"/>
    <w:rsid w:val="00FF0EDF"/>
    <w:rsid w:val="00FF1A28"/>
    <w:rsid w:val="00FF1BB4"/>
    <w:rsid w:val="00FF2290"/>
    <w:rsid w:val="00FF2BFA"/>
    <w:rsid w:val="00FF37C2"/>
    <w:rsid w:val="00FF38D6"/>
    <w:rsid w:val="00FF5D89"/>
    <w:rsid w:val="00FF64DF"/>
    <w:rsid w:val="00FF6B24"/>
    <w:rsid w:val="00FF7062"/>
    <w:rsid w:val="00FF7365"/>
    <w:rsid w:val="00FF7FEC"/>
    <w:rsid w:val="0382C152"/>
    <w:rsid w:val="04E3FD2F"/>
    <w:rsid w:val="0664BB43"/>
    <w:rsid w:val="09F4E6BD"/>
    <w:rsid w:val="0A067B89"/>
    <w:rsid w:val="0AC213AD"/>
    <w:rsid w:val="0D782451"/>
    <w:rsid w:val="0E30A389"/>
    <w:rsid w:val="0F3EC725"/>
    <w:rsid w:val="114E9914"/>
    <w:rsid w:val="1154D291"/>
    <w:rsid w:val="11F10146"/>
    <w:rsid w:val="122213A4"/>
    <w:rsid w:val="142BEC8A"/>
    <w:rsid w:val="14BD083D"/>
    <w:rsid w:val="162B5C57"/>
    <w:rsid w:val="188CD523"/>
    <w:rsid w:val="19C8C386"/>
    <w:rsid w:val="19D5CA5E"/>
    <w:rsid w:val="1C8A7C77"/>
    <w:rsid w:val="1E771D98"/>
    <w:rsid w:val="1EF36B87"/>
    <w:rsid w:val="1F902A10"/>
    <w:rsid w:val="20112548"/>
    <w:rsid w:val="21A87B91"/>
    <w:rsid w:val="248125AF"/>
    <w:rsid w:val="24AD507D"/>
    <w:rsid w:val="24E1D728"/>
    <w:rsid w:val="25942F01"/>
    <w:rsid w:val="26459711"/>
    <w:rsid w:val="27258321"/>
    <w:rsid w:val="287AE936"/>
    <w:rsid w:val="297DF5C6"/>
    <w:rsid w:val="2A107C69"/>
    <w:rsid w:val="2A12B2FB"/>
    <w:rsid w:val="2B1F2D94"/>
    <w:rsid w:val="2C81A3AC"/>
    <w:rsid w:val="2CBAFDF5"/>
    <w:rsid w:val="2D327774"/>
    <w:rsid w:val="2F810455"/>
    <w:rsid w:val="2F9442FD"/>
    <w:rsid w:val="303EEBB4"/>
    <w:rsid w:val="30B33D0A"/>
    <w:rsid w:val="30D90CB7"/>
    <w:rsid w:val="318907AB"/>
    <w:rsid w:val="31C7C8F1"/>
    <w:rsid w:val="34364662"/>
    <w:rsid w:val="35DEABDD"/>
    <w:rsid w:val="36639B10"/>
    <w:rsid w:val="374EA86D"/>
    <w:rsid w:val="3A6A0C5E"/>
    <w:rsid w:val="3DA654E8"/>
    <w:rsid w:val="3EAD7996"/>
    <w:rsid w:val="405D3B54"/>
    <w:rsid w:val="408C8E14"/>
    <w:rsid w:val="4096AC6E"/>
    <w:rsid w:val="40DDF5AA"/>
    <w:rsid w:val="4130E459"/>
    <w:rsid w:val="41612B7E"/>
    <w:rsid w:val="41BC4EE6"/>
    <w:rsid w:val="422D597D"/>
    <w:rsid w:val="4342C3B1"/>
    <w:rsid w:val="43E65B2F"/>
    <w:rsid w:val="44A79420"/>
    <w:rsid w:val="479411BD"/>
    <w:rsid w:val="482B906A"/>
    <w:rsid w:val="4942A33F"/>
    <w:rsid w:val="49B94D22"/>
    <w:rsid w:val="4A2870AA"/>
    <w:rsid w:val="4B00E008"/>
    <w:rsid w:val="4BDCE052"/>
    <w:rsid w:val="4DDBD7FE"/>
    <w:rsid w:val="4F90D520"/>
    <w:rsid w:val="528ACF24"/>
    <w:rsid w:val="52C20B14"/>
    <w:rsid w:val="534B384C"/>
    <w:rsid w:val="54B2157B"/>
    <w:rsid w:val="54C8FE73"/>
    <w:rsid w:val="55D6D81C"/>
    <w:rsid w:val="59B3CF04"/>
    <w:rsid w:val="59BCE2D8"/>
    <w:rsid w:val="59E7B25A"/>
    <w:rsid w:val="5A63AD00"/>
    <w:rsid w:val="5AAA0B82"/>
    <w:rsid w:val="61194D06"/>
    <w:rsid w:val="61E2ACC5"/>
    <w:rsid w:val="625198ED"/>
    <w:rsid w:val="676843EB"/>
    <w:rsid w:val="6833FD2F"/>
    <w:rsid w:val="68BA70DA"/>
    <w:rsid w:val="68E1555A"/>
    <w:rsid w:val="69245EEB"/>
    <w:rsid w:val="6985478D"/>
    <w:rsid w:val="6ACCE084"/>
    <w:rsid w:val="6B36B744"/>
    <w:rsid w:val="6B6DCDC9"/>
    <w:rsid w:val="6BD40764"/>
    <w:rsid w:val="6C2EB661"/>
    <w:rsid w:val="6CF32D7C"/>
    <w:rsid w:val="6D8EE80E"/>
    <w:rsid w:val="6E022511"/>
    <w:rsid w:val="6E0903DE"/>
    <w:rsid w:val="71353283"/>
    <w:rsid w:val="71D4642D"/>
    <w:rsid w:val="72CAED70"/>
    <w:rsid w:val="72EC9382"/>
    <w:rsid w:val="73859128"/>
    <w:rsid w:val="73EB6820"/>
    <w:rsid w:val="7436FF1D"/>
    <w:rsid w:val="74A7267E"/>
    <w:rsid w:val="75021919"/>
    <w:rsid w:val="7695D93E"/>
    <w:rsid w:val="76DD7C89"/>
    <w:rsid w:val="76EB9032"/>
    <w:rsid w:val="79408295"/>
    <w:rsid w:val="7942ACA9"/>
    <w:rsid w:val="79A1FE00"/>
    <w:rsid w:val="7A6D25AE"/>
    <w:rsid w:val="7C6EFC49"/>
    <w:rsid w:val="7C7A4D6B"/>
    <w:rsid w:val="7D1C2AED"/>
    <w:rsid w:val="7D2489DE"/>
    <w:rsid w:val="7D2C736E"/>
    <w:rsid w:val="7D63F51B"/>
    <w:rsid w:val="7EE88E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fillcolor="none [3212]"/>
    </o:shapedefaults>
    <o:shapelayout v:ext="edit">
      <o:idmap v:ext="edit" data="2"/>
    </o:shapelayout>
  </w:shapeDefaults>
  <w:decimalSymbol w:val=","/>
  <w:listSeparator w:val=";"/>
  <w14:docId w14:val="27C1A0EB"/>
  <w15:chartTrackingRefBased/>
  <w15:docId w15:val="{3197EE2C-78FE-437D-B6BD-07C20A6C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750A0"/>
    <w:rPr>
      <w:rFonts w:ascii="Arial" w:hAnsi="Arial"/>
      <w:sz w:val="22"/>
      <w:szCs w:val="24"/>
    </w:rPr>
  </w:style>
  <w:style w:type="paragraph" w:styleId="Nadpis1">
    <w:name w:val="heading 1"/>
    <w:aliases w:val="t"/>
    <w:basedOn w:val="Normln"/>
    <w:next w:val="Normln"/>
    <w:link w:val="Nadpis1Char"/>
    <w:qFormat/>
    <w:rsid w:val="004A4457"/>
    <w:pPr>
      <w:keepNext/>
      <w:numPr>
        <w:numId w:val="1"/>
      </w:numPr>
      <w:spacing w:before="240" w:after="240"/>
      <w:outlineLvl w:val="0"/>
    </w:pPr>
    <w:rPr>
      <w:rFonts w:asciiTheme="minorHAnsi" w:hAnsiTheme="minorHAnsi" w:cs="Arial"/>
      <w:color w:val="385623" w:themeColor="accent6" w:themeShade="80"/>
      <w:kern w:val="32"/>
      <w:sz w:val="36"/>
      <w:szCs w:val="40"/>
    </w:rPr>
  </w:style>
  <w:style w:type="paragraph" w:styleId="Nadpis2">
    <w:name w:val="heading 2"/>
    <w:basedOn w:val="Nadpis3"/>
    <w:next w:val="Normln"/>
    <w:link w:val="Nadpis2Char"/>
    <w:qFormat/>
    <w:rsid w:val="004A4457"/>
    <w:pPr>
      <w:numPr>
        <w:ilvl w:val="1"/>
      </w:numPr>
      <w:outlineLvl w:val="1"/>
    </w:pPr>
  </w:style>
  <w:style w:type="paragraph" w:styleId="Nadpis3">
    <w:name w:val="heading 3"/>
    <w:basedOn w:val="Normln"/>
    <w:next w:val="Normln"/>
    <w:link w:val="Nadpis3Char"/>
    <w:qFormat/>
    <w:rsid w:val="00B07D79"/>
    <w:pPr>
      <w:keepNext/>
      <w:numPr>
        <w:ilvl w:val="2"/>
        <w:numId w:val="154"/>
      </w:numPr>
      <w:spacing w:before="240" w:after="240"/>
      <w:outlineLvl w:val="2"/>
    </w:pPr>
    <w:rPr>
      <w:rFonts w:asciiTheme="minorHAnsi" w:hAnsiTheme="minorHAnsi" w:cs="Arial"/>
      <w:color w:val="538135" w:themeColor="accent6" w:themeShade="BF"/>
      <w:sz w:val="28"/>
      <w:szCs w:val="32"/>
    </w:rPr>
  </w:style>
  <w:style w:type="paragraph" w:styleId="Nadpis4">
    <w:name w:val="heading 4"/>
    <w:basedOn w:val="Normln"/>
    <w:next w:val="Normln"/>
    <w:link w:val="Nadpis4Char"/>
    <w:qFormat/>
    <w:rsid w:val="00B07D79"/>
    <w:pPr>
      <w:keepNext/>
      <w:numPr>
        <w:ilvl w:val="3"/>
        <w:numId w:val="1"/>
      </w:numPr>
      <w:tabs>
        <w:tab w:val="clear" w:pos="1574"/>
        <w:tab w:val="num" w:pos="864"/>
      </w:tabs>
      <w:spacing w:before="240" w:after="240" w:line="276" w:lineRule="auto"/>
      <w:ind w:left="864"/>
      <w:jc w:val="both"/>
      <w:outlineLvl w:val="3"/>
    </w:pPr>
    <w:rPr>
      <w:rFonts w:asciiTheme="minorHAnsi" w:hAnsiTheme="minorHAnsi"/>
      <w:color w:val="538135" w:themeColor="accent6" w:themeShade="BF"/>
      <w:sz w:val="24"/>
      <w:szCs w:val="32"/>
    </w:rPr>
  </w:style>
  <w:style w:type="paragraph" w:styleId="Nadpis5">
    <w:name w:val="heading 5"/>
    <w:basedOn w:val="Normln"/>
    <w:next w:val="Normln"/>
    <w:link w:val="Nadpis5Char"/>
    <w:qFormat/>
    <w:rsid w:val="008364DF"/>
    <w:pPr>
      <w:numPr>
        <w:ilvl w:val="4"/>
        <w:numId w:val="1"/>
      </w:numPr>
      <w:spacing w:before="240" w:after="60"/>
      <w:outlineLvl w:val="4"/>
    </w:pPr>
    <w:rPr>
      <w:b/>
      <w:bCs/>
      <w:i/>
      <w:iCs/>
      <w:szCs w:val="26"/>
    </w:rPr>
  </w:style>
  <w:style w:type="paragraph" w:styleId="Nadpis6">
    <w:name w:val="heading 6"/>
    <w:basedOn w:val="Normln"/>
    <w:next w:val="Normln"/>
    <w:link w:val="Nadpis6Char"/>
    <w:qFormat/>
    <w:rsid w:val="008364DF"/>
    <w:pPr>
      <w:numPr>
        <w:ilvl w:val="5"/>
        <w:numId w:val="1"/>
      </w:numPr>
      <w:spacing w:before="240" w:after="60"/>
      <w:outlineLvl w:val="5"/>
    </w:pPr>
    <w:rPr>
      <w:b/>
      <w:bCs/>
      <w:szCs w:val="22"/>
    </w:rPr>
  </w:style>
  <w:style w:type="paragraph" w:styleId="Nadpis7">
    <w:name w:val="heading 7"/>
    <w:basedOn w:val="Normln"/>
    <w:next w:val="Normln"/>
    <w:link w:val="Nadpis7Char"/>
    <w:qFormat/>
    <w:rsid w:val="008364DF"/>
    <w:pPr>
      <w:numPr>
        <w:ilvl w:val="6"/>
        <w:numId w:val="1"/>
      </w:numPr>
      <w:spacing w:before="240" w:after="60"/>
      <w:outlineLvl w:val="6"/>
    </w:pPr>
  </w:style>
  <w:style w:type="paragraph" w:styleId="Nadpis8">
    <w:name w:val="heading 8"/>
    <w:basedOn w:val="Normln"/>
    <w:next w:val="Normln"/>
    <w:link w:val="Nadpis8Char"/>
    <w:qFormat/>
    <w:rsid w:val="008364DF"/>
    <w:pPr>
      <w:numPr>
        <w:ilvl w:val="7"/>
        <w:numId w:val="1"/>
      </w:numPr>
      <w:spacing w:before="240" w:after="60"/>
      <w:outlineLvl w:val="7"/>
    </w:pPr>
    <w:rPr>
      <w:i/>
      <w:iCs/>
    </w:rPr>
  </w:style>
  <w:style w:type="paragraph" w:styleId="Nadpis9">
    <w:name w:val="heading 9"/>
    <w:aliases w:val="Příloha"/>
    <w:basedOn w:val="Normln"/>
    <w:next w:val="Normln"/>
    <w:link w:val="Nadpis9Char"/>
    <w:qFormat/>
    <w:rsid w:val="008364DF"/>
    <w:pPr>
      <w:numPr>
        <w:ilvl w:val="8"/>
        <w:numId w:val="1"/>
      </w:numPr>
      <w:spacing w:before="240" w:after="60"/>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pPr>
  </w:style>
  <w:style w:type="paragraph" w:styleId="Zhlav">
    <w:name w:val="header"/>
    <w:basedOn w:val="Normln"/>
    <w:link w:val="ZhlavChar"/>
    <w:semiHidden/>
    <w:pPr>
      <w:tabs>
        <w:tab w:val="center" w:pos="4536"/>
        <w:tab w:val="right" w:pos="9072"/>
      </w:tabs>
    </w:pPr>
  </w:style>
  <w:style w:type="paragraph" w:styleId="Obsah1">
    <w:name w:val="toc 1"/>
    <w:basedOn w:val="Normln"/>
    <w:next w:val="Normln"/>
    <w:autoRedefine/>
    <w:uiPriority w:val="39"/>
    <w:rsid w:val="00ED2ED9"/>
    <w:pPr>
      <w:tabs>
        <w:tab w:val="right" w:leader="dot" w:pos="9062"/>
      </w:tabs>
      <w:spacing w:before="240" w:after="240"/>
      <w:ind w:left="709" w:hanging="709"/>
    </w:pPr>
    <w:rPr>
      <w:rFonts w:cs="Arial"/>
      <w:b/>
      <w:bCs/>
      <w:noProof/>
      <w:sz w:val="28"/>
      <w:szCs w:val="22"/>
    </w:rPr>
  </w:style>
  <w:style w:type="paragraph" w:styleId="Obsah2">
    <w:name w:val="toc 2"/>
    <w:basedOn w:val="Normln"/>
    <w:next w:val="Normln"/>
    <w:autoRedefine/>
    <w:uiPriority w:val="39"/>
    <w:rsid w:val="001B7153"/>
    <w:pPr>
      <w:tabs>
        <w:tab w:val="right" w:leader="dot" w:pos="9062"/>
      </w:tabs>
      <w:ind w:left="993" w:hanging="993"/>
    </w:pPr>
    <w:rPr>
      <w:b/>
      <w:sz w:val="24"/>
      <w:szCs w:val="22"/>
    </w:rPr>
  </w:style>
  <w:style w:type="paragraph" w:styleId="Obsah3">
    <w:name w:val="toc 3"/>
    <w:basedOn w:val="Normln"/>
    <w:next w:val="Normln"/>
    <w:autoRedefine/>
    <w:uiPriority w:val="39"/>
    <w:rsid w:val="00ED2ED9"/>
    <w:pPr>
      <w:tabs>
        <w:tab w:val="right" w:leader="dot" w:pos="9062"/>
      </w:tabs>
      <w:ind w:left="1135" w:hanging="851"/>
    </w:pPr>
    <w:rPr>
      <w:rFonts w:cs="Arial"/>
      <w:noProof/>
      <w:szCs w:val="22"/>
    </w:rPr>
  </w:style>
  <w:style w:type="paragraph" w:styleId="Obsah4">
    <w:name w:val="toc 4"/>
    <w:basedOn w:val="Normln"/>
    <w:next w:val="Normln"/>
    <w:autoRedefine/>
    <w:uiPriority w:val="39"/>
    <w:rsid w:val="00A54ECE"/>
    <w:pPr>
      <w:tabs>
        <w:tab w:val="left" w:pos="1701"/>
        <w:tab w:val="right" w:leader="dot" w:pos="9061"/>
      </w:tabs>
      <w:ind w:left="1135" w:hanging="851"/>
    </w:pPr>
    <w:rPr>
      <w:szCs w:val="21"/>
    </w:rPr>
  </w:style>
  <w:style w:type="paragraph" w:styleId="Obsah5">
    <w:name w:val="toc 5"/>
    <w:basedOn w:val="Normln"/>
    <w:next w:val="Normln"/>
    <w:autoRedefine/>
    <w:uiPriority w:val="39"/>
    <w:rsid w:val="003341C5"/>
    <w:pPr>
      <w:ind w:left="880"/>
    </w:pPr>
    <w:rPr>
      <w:rFonts w:ascii="Times New Roman" w:hAnsi="Times New Roman"/>
      <w:szCs w:val="21"/>
    </w:rPr>
  </w:style>
  <w:style w:type="paragraph" w:styleId="Obsah6">
    <w:name w:val="toc 6"/>
    <w:basedOn w:val="Normln"/>
    <w:next w:val="Normln"/>
    <w:autoRedefine/>
    <w:uiPriority w:val="39"/>
    <w:pPr>
      <w:ind w:left="1100"/>
    </w:pPr>
    <w:rPr>
      <w:rFonts w:ascii="Times New Roman" w:hAnsi="Times New Roman"/>
      <w:szCs w:val="21"/>
    </w:rPr>
  </w:style>
  <w:style w:type="paragraph" w:styleId="Obsah7">
    <w:name w:val="toc 7"/>
    <w:basedOn w:val="Normln"/>
    <w:next w:val="Normln"/>
    <w:autoRedefine/>
    <w:uiPriority w:val="39"/>
    <w:pPr>
      <w:ind w:left="1320"/>
    </w:pPr>
    <w:rPr>
      <w:rFonts w:ascii="Times New Roman" w:hAnsi="Times New Roman"/>
      <w:szCs w:val="21"/>
    </w:rPr>
  </w:style>
  <w:style w:type="paragraph" w:styleId="Obsah8">
    <w:name w:val="toc 8"/>
    <w:basedOn w:val="Normln"/>
    <w:next w:val="Normln"/>
    <w:autoRedefine/>
    <w:uiPriority w:val="39"/>
    <w:pPr>
      <w:ind w:left="1540"/>
    </w:pPr>
    <w:rPr>
      <w:rFonts w:ascii="Times New Roman" w:hAnsi="Times New Roman"/>
      <w:szCs w:val="21"/>
    </w:rPr>
  </w:style>
  <w:style w:type="paragraph" w:styleId="Obsah9">
    <w:name w:val="toc 9"/>
    <w:basedOn w:val="Normln"/>
    <w:next w:val="Normln"/>
    <w:autoRedefine/>
    <w:uiPriority w:val="39"/>
    <w:pPr>
      <w:ind w:left="1760"/>
    </w:pPr>
    <w:rPr>
      <w:rFonts w:ascii="Times New Roman" w:hAnsi="Times New Roman"/>
      <w:szCs w:val="21"/>
    </w:rPr>
  </w:style>
  <w:style w:type="character" w:styleId="slostrnky">
    <w:name w:val="page number"/>
    <w:basedOn w:val="Standardnpsmoodstavce"/>
    <w:semiHidden/>
  </w:style>
  <w:style w:type="paragraph" w:styleId="Textpoznpodarou">
    <w:name w:val="footnote text"/>
    <w:aliases w:val="Footnote Text Char3,Footnote Text Char1 Char1,Footnote Text Char2 Char Char,Footnote Text Char1 Char1 Char Char,Footnote Text Char2 Char Char Char Char,Footnote Text Char1 Char1 Char Char Char Char Char,-E Fußnotentext,Fußnotentextf"/>
    <w:basedOn w:val="Normln"/>
    <w:link w:val="TextpoznpodarouChar"/>
    <w:uiPriority w:val="99"/>
    <w:qFormat/>
    <w:rPr>
      <w:sz w:val="16"/>
      <w:szCs w:val="20"/>
    </w:rPr>
  </w:style>
  <w:style w:type="character" w:styleId="Znakapoznpodarou">
    <w:name w:val="footnote reference"/>
    <w:aliases w:val="_poznamka_cislo_,EN Footnote Reference,BVI fnr,Footnote symbol,Footnote Reference Number,PGI Fußnote Ziffer,Footnote Reference Superscript,Appel note de bas de p,Appel note de bas de page,Légende,Char Car Car Car Car,fr,SUPERS,Ref"/>
    <w:uiPriority w:val="99"/>
    <w:qFormat/>
    <w:rPr>
      <w:vertAlign w:val="superscript"/>
    </w:rPr>
  </w:style>
  <w:style w:type="character" w:styleId="Hypertextovodkaz">
    <w:name w:val="Hyperlink"/>
    <w:uiPriority w:val="99"/>
    <w:rPr>
      <w:color w:val="0000FF"/>
      <w:u w:val="single"/>
    </w:rPr>
  </w:style>
  <w:style w:type="character" w:styleId="Odkaznakoment">
    <w:name w:val="annotation reference"/>
    <w:uiPriority w:val="99"/>
    <w:semiHidden/>
    <w:rPr>
      <w:sz w:val="16"/>
      <w:szCs w:val="16"/>
    </w:rPr>
  </w:style>
  <w:style w:type="paragraph" w:styleId="Textkomente">
    <w:name w:val="annotation text"/>
    <w:basedOn w:val="Normln"/>
    <w:link w:val="TextkomenteChar"/>
    <w:uiPriority w:val="99"/>
    <w:rPr>
      <w:sz w:val="20"/>
      <w:szCs w:val="20"/>
    </w:rPr>
  </w:style>
  <w:style w:type="paragraph" w:styleId="Titulek">
    <w:name w:val="caption"/>
    <w:basedOn w:val="Normln"/>
    <w:next w:val="Normln"/>
    <w:qFormat/>
    <w:pPr>
      <w:spacing w:before="240" w:after="240"/>
    </w:pPr>
    <w:rPr>
      <w:b/>
      <w:bCs/>
      <w:szCs w:val="20"/>
    </w:rPr>
  </w:style>
  <w:style w:type="paragraph" w:customStyle="1" w:styleId="Podtitul">
    <w:name w:val="Podtitul"/>
    <w:basedOn w:val="Normln"/>
    <w:qFormat/>
    <w:pPr>
      <w:overflowPunct w:val="0"/>
      <w:autoSpaceDE w:val="0"/>
      <w:autoSpaceDN w:val="0"/>
      <w:adjustRightInd w:val="0"/>
      <w:spacing w:before="240"/>
      <w:jc w:val="center"/>
      <w:textAlignment w:val="baseline"/>
    </w:pPr>
    <w:rPr>
      <w:sz w:val="32"/>
      <w:szCs w:val="20"/>
    </w:rPr>
  </w:style>
  <w:style w:type="paragraph" w:styleId="Seznamobrzk">
    <w:name w:val="table of figures"/>
    <w:basedOn w:val="Normln"/>
    <w:next w:val="Normln"/>
    <w:semiHidden/>
    <w:pPr>
      <w:ind w:left="440" w:hanging="440"/>
    </w:pPr>
  </w:style>
  <w:style w:type="paragraph" w:customStyle="1" w:styleId="Nadpisobsahuaseznamu">
    <w:name w:val="Nadpis obsahu a seznamu"/>
    <w:basedOn w:val="Obsah1"/>
    <w:pPr>
      <w:ind w:left="0" w:firstLine="0"/>
    </w:pPr>
    <w:rPr>
      <w:caps/>
    </w:rPr>
  </w:style>
  <w:style w:type="paragraph" w:customStyle="1" w:styleId="Zkratky">
    <w:name w:val="Zkratky"/>
    <w:basedOn w:val="Normln"/>
    <w:rsid w:val="000750A0"/>
    <w:pPr>
      <w:tabs>
        <w:tab w:val="left" w:leader="dot" w:pos="2835"/>
      </w:tabs>
      <w:spacing w:before="60" w:after="60"/>
    </w:pPr>
  </w:style>
  <w:style w:type="paragraph" w:styleId="Rozloendokumentu">
    <w:name w:val="Document Map"/>
    <w:basedOn w:val="Normln"/>
    <w:link w:val="RozloendokumentuChar"/>
    <w:semiHidden/>
    <w:pPr>
      <w:shd w:val="clear" w:color="auto" w:fill="000080"/>
    </w:pPr>
    <w:rPr>
      <w:rFonts w:ascii="Tahoma" w:hAnsi="Tahoma" w:cs="Tahoma"/>
    </w:rPr>
  </w:style>
  <w:style w:type="paragraph" w:customStyle="1" w:styleId="Zhlavtabulky">
    <w:name w:val="Záhlaví tabulky"/>
    <w:basedOn w:val="Normln"/>
    <w:pPr>
      <w:jc w:val="center"/>
    </w:pPr>
    <w:rPr>
      <w:b/>
    </w:rPr>
  </w:style>
  <w:style w:type="paragraph" w:customStyle="1" w:styleId="Bullet1">
    <w:name w:val="Bullet 1"/>
    <w:basedOn w:val="Normln"/>
    <w:qFormat/>
    <w:pPr>
      <w:numPr>
        <w:numId w:val="2"/>
      </w:numPr>
    </w:pPr>
  </w:style>
  <w:style w:type="paragraph" w:customStyle="1" w:styleId="Bullet2">
    <w:name w:val="Bullet 2"/>
    <w:basedOn w:val="Normln"/>
    <w:qFormat/>
    <w:pPr>
      <w:numPr>
        <w:numId w:val="3"/>
      </w:numPr>
      <w:tabs>
        <w:tab w:val="left" w:pos="851"/>
      </w:tabs>
    </w:pPr>
  </w:style>
  <w:style w:type="paragraph" w:styleId="Textbubliny">
    <w:name w:val="Balloon Text"/>
    <w:basedOn w:val="Normln"/>
    <w:link w:val="TextbublinyChar"/>
    <w:uiPriority w:val="99"/>
    <w:semiHidden/>
    <w:unhideWhenUsed/>
    <w:rsid w:val="007411DF"/>
    <w:rPr>
      <w:rFonts w:ascii="Tahoma" w:hAnsi="Tahoma" w:cs="Tahoma"/>
      <w:sz w:val="16"/>
      <w:szCs w:val="16"/>
    </w:rPr>
  </w:style>
  <w:style w:type="paragraph" w:customStyle="1" w:styleId="Odrkyabc">
    <w:name w:val="Odrážky abc"/>
    <w:basedOn w:val="Normln"/>
    <w:pPr>
      <w:numPr>
        <w:numId w:val="4"/>
      </w:numPr>
    </w:pPr>
  </w:style>
  <w:style w:type="character" w:customStyle="1" w:styleId="TextbublinyChar">
    <w:name w:val="Text bubliny Char"/>
    <w:link w:val="Textbubliny"/>
    <w:uiPriority w:val="99"/>
    <w:semiHidden/>
    <w:rsid w:val="007411DF"/>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787C7D"/>
    <w:rPr>
      <w:b/>
      <w:bCs/>
    </w:rPr>
  </w:style>
  <w:style w:type="character" w:customStyle="1" w:styleId="TextkomenteChar">
    <w:name w:val="Text komentáře Char"/>
    <w:basedOn w:val="Standardnpsmoodstavce"/>
    <w:link w:val="Textkomente"/>
    <w:uiPriority w:val="99"/>
    <w:rsid w:val="00787C7D"/>
    <w:rPr>
      <w:rFonts w:ascii="Arial" w:hAnsi="Arial"/>
    </w:rPr>
  </w:style>
  <w:style w:type="character" w:customStyle="1" w:styleId="PedmtkomenteChar">
    <w:name w:val="Předmět komentáře Char"/>
    <w:basedOn w:val="TextkomenteChar"/>
    <w:link w:val="Pedmtkomente"/>
    <w:uiPriority w:val="99"/>
    <w:semiHidden/>
    <w:rsid w:val="00787C7D"/>
    <w:rPr>
      <w:rFonts w:ascii="Arial" w:hAnsi="Arial"/>
      <w:b/>
      <w:bCs/>
    </w:rPr>
  </w:style>
  <w:style w:type="paragraph" w:styleId="Odstavecseseznamem">
    <w:name w:val="List Paragraph"/>
    <w:aliases w:val="Conclusion de partie,List Paragraph,Odstavec se seznamem2,Fiche List Paragraph,Odstavec se seznamem1,List Paragraph1,List Paragraph2,Odstavec se seznamem21,Odstavec se seznamem211,Dot pt,List Paragraph Char Char Char,Indicator Text"/>
    <w:basedOn w:val="Normln"/>
    <w:link w:val="OdstavecseseznamemChar"/>
    <w:uiPriority w:val="34"/>
    <w:qFormat/>
    <w:rsid w:val="00787C7D"/>
    <w:pPr>
      <w:ind w:left="720"/>
      <w:contextualSpacing/>
    </w:pPr>
  </w:style>
  <w:style w:type="paragraph" w:styleId="Revize">
    <w:name w:val="Revision"/>
    <w:hidden/>
    <w:uiPriority w:val="99"/>
    <w:semiHidden/>
    <w:rsid w:val="003272B5"/>
    <w:rPr>
      <w:rFonts w:ascii="Arial" w:hAnsi="Arial"/>
      <w:sz w:val="22"/>
      <w:szCs w:val="24"/>
    </w:rPr>
  </w:style>
  <w:style w:type="character" w:customStyle="1" w:styleId="TextpoznpodarouChar">
    <w:name w:val="Text pozn. pod čarou Char"/>
    <w:aliases w:val="Footnote Text Char3 Char,Footnote Text Char1 Char1 Char,Footnote Text Char2 Char Char Char,Footnote Text Char1 Char1 Char Char Char,Footnote Text Char2 Char Char Char Char Char,-E Fußnotentext Char,Fußnotentextf Char"/>
    <w:basedOn w:val="Standardnpsmoodstavce"/>
    <w:link w:val="Textpoznpodarou"/>
    <w:uiPriority w:val="99"/>
    <w:qFormat/>
    <w:rsid w:val="0073207F"/>
    <w:rPr>
      <w:rFonts w:ascii="Arial" w:hAnsi="Arial"/>
      <w:sz w:val="16"/>
    </w:rPr>
  </w:style>
  <w:style w:type="character" w:customStyle="1" w:styleId="OdstavecseseznamemChar">
    <w:name w:val="Odstavec se seznamem Char"/>
    <w:aliases w:val="Conclusion de partie Char,List Paragraph Char,Odstavec se seznamem2 Char,Fiche List Paragraph Char,Odstavec se seznamem1 Char,List Paragraph1 Char,List Paragraph2 Char,Odstavec se seznamem21 Char,Odstavec se seznamem211 Char"/>
    <w:link w:val="Odstavecseseznamem"/>
    <w:uiPriority w:val="34"/>
    <w:qFormat/>
    <w:locked/>
    <w:rsid w:val="0073207F"/>
    <w:rPr>
      <w:rFonts w:ascii="Arial" w:hAnsi="Arial"/>
      <w:sz w:val="22"/>
      <w:szCs w:val="24"/>
    </w:rPr>
  </w:style>
  <w:style w:type="character" w:styleId="Nevyeenzmnka">
    <w:name w:val="Unresolved Mention"/>
    <w:basedOn w:val="Standardnpsmoodstavce"/>
    <w:uiPriority w:val="99"/>
    <w:semiHidden/>
    <w:unhideWhenUsed/>
    <w:rsid w:val="00025331"/>
    <w:rPr>
      <w:color w:val="605E5C"/>
      <w:shd w:val="clear" w:color="auto" w:fill="E1DFDD"/>
    </w:rPr>
  </w:style>
  <w:style w:type="table" w:styleId="Mkatabulky">
    <w:name w:val="Table Grid"/>
    <w:basedOn w:val="Normlntabulka"/>
    <w:uiPriority w:val="39"/>
    <w:rsid w:val="00EE3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ariantaB-odrky">
    <w:name w:val="Varianta B - odrážky"/>
    <w:uiPriority w:val="99"/>
    <w:rsid w:val="001276F8"/>
    <w:pPr>
      <w:numPr>
        <w:numId w:val="37"/>
      </w:numPr>
    </w:pPr>
  </w:style>
  <w:style w:type="paragraph" w:customStyle="1" w:styleId="SeznamsodrkamiB">
    <w:name w:val="Seznam s odrážkami B"/>
    <w:basedOn w:val="Normln"/>
    <w:uiPriority w:val="11"/>
    <w:qFormat/>
    <w:rsid w:val="002F3B74"/>
    <w:pPr>
      <w:numPr>
        <w:numId w:val="38"/>
      </w:numPr>
      <w:tabs>
        <w:tab w:val="num" w:pos="360"/>
      </w:tabs>
      <w:spacing w:line="293" w:lineRule="auto"/>
      <w:ind w:left="0" w:firstLine="0"/>
    </w:pPr>
    <w:rPr>
      <w:rFonts w:asciiTheme="minorHAnsi" w:eastAsiaTheme="minorHAnsi" w:hAnsiTheme="minorHAnsi" w:cstheme="minorBidi"/>
      <w:color w:val="000000" w:themeColor="text1"/>
      <w:szCs w:val="22"/>
      <w:lang w:eastAsia="en-US"/>
    </w:rPr>
  </w:style>
  <w:style w:type="paragraph" w:customStyle="1" w:styleId="SeznamsodrkamiB2">
    <w:name w:val="Seznam s odrážkami B 2"/>
    <w:basedOn w:val="Normln"/>
    <w:uiPriority w:val="11"/>
    <w:qFormat/>
    <w:rsid w:val="002F3B74"/>
    <w:pPr>
      <w:numPr>
        <w:ilvl w:val="1"/>
        <w:numId w:val="38"/>
      </w:numPr>
      <w:tabs>
        <w:tab w:val="num" w:pos="360"/>
      </w:tabs>
      <w:spacing w:line="293" w:lineRule="auto"/>
      <w:ind w:left="0" w:firstLine="0"/>
    </w:pPr>
    <w:rPr>
      <w:rFonts w:asciiTheme="minorHAnsi" w:eastAsiaTheme="minorHAnsi" w:hAnsiTheme="minorHAnsi" w:cstheme="minorBidi"/>
      <w:color w:val="000000" w:themeColor="text1"/>
      <w:szCs w:val="22"/>
      <w:lang w:eastAsia="en-US"/>
    </w:rPr>
  </w:style>
  <w:style w:type="paragraph" w:customStyle="1" w:styleId="SeznamsodrkamiB3">
    <w:name w:val="Seznam s odrážkami B 3"/>
    <w:basedOn w:val="Normln"/>
    <w:uiPriority w:val="11"/>
    <w:qFormat/>
    <w:rsid w:val="002F3B74"/>
    <w:pPr>
      <w:numPr>
        <w:ilvl w:val="2"/>
        <w:numId w:val="38"/>
      </w:numPr>
      <w:tabs>
        <w:tab w:val="num" w:pos="360"/>
      </w:tabs>
      <w:spacing w:line="293" w:lineRule="auto"/>
      <w:ind w:left="0" w:firstLine="0"/>
    </w:pPr>
    <w:rPr>
      <w:rFonts w:asciiTheme="minorHAnsi" w:eastAsiaTheme="minorHAnsi" w:hAnsiTheme="minorHAnsi" w:cstheme="minorBidi"/>
      <w:color w:val="000000" w:themeColor="text1"/>
      <w:szCs w:val="22"/>
      <w:lang w:eastAsia="en-US"/>
    </w:rPr>
  </w:style>
  <w:style w:type="paragraph" w:customStyle="1" w:styleId="SeznamsodrkamiB4">
    <w:name w:val="Seznam s odrážkami B 4"/>
    <w:basedOn w:val="Normln"/>
    <w:uiPriority w:val="11"/>
    <w:qFormat/>
    <w:rsid w:val="002F3B74"/>
    <w:pPr>
      <w:numPr>
        <w:ilvl w:val="3"/>
        <w:numId w:val="38"/>
      </w:numPr>
      <w:tabs>
        <w:tab w:val="num" w:pos="360"/>
      </w:tabs>
      <w:spacing w:line="293" w:lineRule="auto"/>
      <w:ind w:left="0" w:firstLine="0"/>
    </w:pPr>
    <w:rPr>
      <w:rFonts w:asciiTheme="minorHAnsi" w:eastAsiaTheme="minorHAnsi" w:hAnsiTheme="minorHAnsi" w:cstheme="minorBidi"/>
      <w:color w:val="000000" w:themeColor="text1"/>
      <w:szCs w:val="22"/>
      <w:lang w:eastAsia="en-US"/>
    </w:rPr>
  </w:style>
  <w:style w:type="paragraph" w:customStyle="1" w:styleId="SeznamsodrkamiB5">
    <w:name w:val="Seznam s odrážkami B 5"/>
    <w:basedOn w:val="Normln"/>
    <w:uiPriority w:val="11"/>
    <w:qFormat/>
    <w:rsid w:val="002F3B74"/>
    <w:pPr>
      <w:numPr>
        <w:ilvl w:val="4"/>
        <w:numId w:val="38"/>
      </w:numPr>
      <w:tabs>
        <w:tab w:val="num" w:pos="360"/>
      </w:tabs>
      <w:spacing w:line="293" w:lineRule="auto"/>
      <w:ind w:left="0" w:firstLine="0"/>
    </w:pPr>
    <w:rPr>
      <w:rFonts w:asciiTheme="minorHAnsi" w:eastAsiaTheme="minorHAnsi" w:hAnsiTheme="minorHAnsi" w:cstheme="minorBidi"/>
      <w:color w:val="000000" w:themeColor="text1"/>
      <w:szCs w:val="22"/>
      <w:lang w:eastAsia="en-US"/>
    </w:rPr>
  </w:style>
  <w:style w:type="paragraph" w:styleId="Nadpisobsahu">
    <w:name w:val="TOC Heading"/>
    <w:basedOn w:val="Nadpis1"/>
    <w:next w:val="Normln"/>
    <w:uiPriority w:val="39"/>
    <w:unhideWhenUsed/>
    <w:qFormat/>
    <w:rsid w:val="00FD2B4D"/>
    <w:pPr>
      <w:keepLines/>
      <w:numPr>
        <w:numId w:val="0"/>
      </w:numPr>
      <w:spacing w:after="0"/>
      <w:outlineLvl w:val="9"/>
    </w:pPr>
    <w:rPr>
      <w:rFonts w:asciiTheme="majorHAnsi" w:eastAsiaTheme="majorEastAsia" w:hAnsiTheme="majorHAnsi" w:cstheme="majorBidi"/>
      <w:b/>
      <w:bCs/>
      <w:color w:val="1F3864" w:themeColor="accent1" w:themeShade="80"/>
      <w:kern w:val="0"/>
      <w:sz w:val="32"/>
    </w:rPr>
  </w:style>
  <w:style w:type="character" w:customStyle="1" w:styleId="Nadpis1Char">
    <w:name w:val="Nadpis 1 Char"/>
    <w:aliases w:val="t Char"/>
    <w:basedOn w:val="Standardnpsmoodstavce"/>
    <w:link w:val="Nadpis1"/>
    <w:rsid w:val="004A4457"/>
    <w:rPr>
      <w:rFonts w:asciiTheme="minorHAnsi" w:hAnsiTheme="minorHAnsi" w:cs="Arial"/>
      <w:color w:val="385623" w:themeColor="accent6" w:themeShade="80"/>
      <w:kern w:val="32"/>
      <w:sz w:val="36"/>
      <w:szCs w:val="40"/>
    </w:rPr>
  </w:style>
  <w:style w:type="character" w:customStyle="1" w:styleId="Nadpis2Char">
    <w:name w:val="Nadpis 2 Char"/>
    <w:basedOn w:val="Standardnpsmoodstavce"/>
    <w:link w:val="Nadpis2"/>
    <w:rsid w:val="004A4457"/>
    <w:rPr>
      <w:rFonts w:asciiTheme="minorHAnsi" w:hAnsiTheme="minorHAnsi" w:cs="Arial"/>
      <w:color w:val="538135" w:themeColor="accent6" w:themeShade="BF"/>
      <w:sz w:val="32"/>
      <w:szCs w:val="36"/>
    </w:rPr>
  </w:style>
  <w:style w:type="character" w:customStyle="1" w:styleId="Nadpis3Char">
    <w:name w:val="Nadpis 3 Char"/>
    <w:basedOn w:val="Standardnpsmoodstavce"/>
    <w:link w:val="Nadpis3"/>
    <w:rsid w:val="00B07D79"/>
    <w:rPr>
      <w:rFonts w:asciiTheme="minorHAnsi" w:hAnsiTheme="minorHAnsi" w:cs="Arial"/>
      <w:color w:val="538135" w:themeColor="accent6" w:themeShade="BF"/>
      <w:sz w:val="28"/>
      <w:szCs w:val="32"/>
    </w:rPr>
  </w:style>
  <w:style w:type="character" w:customStyle="1" w:styleId="Nadpis4Char">
    <w:name w:val="Nadpis 4 Char"/>
    <w:basedOn w:val="Standardnpsmoodstavce"/>
    <w:link w:val="Nadpis4"/>
    <w:rsid w:val="00B07D79"/>
    <w:rPr>
      <w:rFonts w:asciiTheme="minorHAnsi" w:hAnsiTheme="minorHAnsi"/>
      <w:color w:val="538135" w:themeColor="accent6" w:themeShade="BF"/>
      <w:sz w:val="24"/>
      <w:szCs w:val="32"/>
    </w:rPr>
  </w:style>
  <w:style w:type="character" w:customStyle="1" w:styleId="Nadpis5Char">
    <w:name w:val="Nadpis 5 Char"/>
    <w:basedOn w:val="Standardnpsmoodstavce"/>
    <w:link w:val="Nadpis5"/>
    <w:rsid w:val="00FD2B4D"/>
    <w:rPr>
      <w:rFonts w:ascii="Arial" w:hAnsi="Arial"/>
      <w:b/>
      <w:bCs/>
      <w:i/>
      <w:iCs/>
      <w:sz w:val="22"/>
      <w:szCs w:val="26"/>
    </w:rPr>
  </w:style>
  <w:style w:type="character" w:customStyle="1" w:styleId="Nadpis6Char">
    <w:name w:val="Nadpis 6 Char"/>
    <w:basedOn w:val="Standardnpsmoodstavce"/>
    <w:link w:val="Nadpis6"/>
    <w:rsid w:val="00FD2B4D"/>
    <w:rPr>
      <w:rFonts w:ascii="Arial" w:hAnsi="Arial"/>
      <w:b/>
      <w:bCs/>
      <w:sz w:val="22"/>
      <w:szCs w:val="22"/>
    </w:rPr>
  </w:style>
  <w:style w:type="character" w:customStyle="1" w:styleId="Nadpis7Char">
    <w:name w:val="Nadpis 7 Char"/>
    <w:basedOn w:val="Standardnpsmoodstavce"/>
    <w:link w:val="Nadpis7"/>
    <w:rsid w:val="00FD2B4D"/>
    <w:rPr>
      <w:rFonts w:ascii="Arial" w:hAnsi="Arial"/>
      <w:sz w:val="22"/>
      <w:szCs w:val="24"/>
    </w:rPr>
  </w:style>
  <w:style w:type="character" w:customStyle="1" w:styleId="Nadpis8Char">
    <w:name w:val="Nadpis 8 Char"/>
    <w:basedOn w:val="Standardnpsmoodstavce"/>
    <w:link w:val="Nadpis8"/>
    <w:rsid w:val="00FD2B4D"/>
    <w:rPr>
      <w:rFonts w:ascii="Arial" w:hAnsi="Arial"/>
      <w:i/>
      <w:iCs/>
      <w:sz w:val="22"/>
      <w:szCs w:val="24"/>
    </w:rPr>
  </w:style>
  <w:style w:type="character" w:customStyle="1" w:styleId="Nadpis9Char">
    <w:name w:val="Nadpis 9 Char"/>
    <w:aliases w:val="Příloha Char"/>
    <w:basedOn w:val="Standardnpsmoodstavce"/>
    <w:link w:val="Nadpis9"/>
    <w:rsid w:val="00FD2B4D"/>
    <w:rPr>
      <w:rFonts w:ascii="Arial" w:hAnsi="Arial" w:cs="Arial"/>
      <w:sz w:val="22"/>
      <w:szCs w:val="22"/>
    </w:rPr>
  </w:style>
  <w:style w:type="paragraph" w:styleId="Podnadpis">
    <w:name w:val="Subtitle"/>
    <w:basedOn w:val="Normln"/>
    <w:next w:val="Normln"/>
    <w:link w:val="PodnadpisChar"/>
    <w:uiPriority w:val="11"/>
    <w:qFormat/>
    <w:rsid w:val="00FD2B4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uiPriority w:val="11"/>
    <w:rsid w:val="00FD2B4D"/>
    <w:rPr>
      <w:rFonts w:asciiTheme="minorHAnsi" w:eastAsiaTheme="minorEastAsia" w:hAnsiTheme="minorHAnsi" w:cstheme="minorBidi"/>
      <w:color w:val="5A5A5A" w:themeColor="text1" w:themeTint="A5"/>
      <w:spacing w:val="15"/>
      <w:sz w:val="22"/>
      <w:szCs w:val="22"/>
    </w:rPr>
  </w:style>
  <w:style w:type="character" w:customStyle="1" w:styleId="RozloendokumentuChar">
    <w:name w:val="Rozložení dokumentu Char"/>
    <w:basedOn w:val="Standardnpsmoodstavce"/>
    <w:link w:val="Rozloendokumentu"/>
    <w:semiHidden/>
    <w:rsid w:val="00FD2B4D"/>
    <w:rPr>
      <w:rFonts w:ascii="Tahoma" w:hAnsi="Tahoma" w:cs="Tahoma"/>
      <w:sz w:val="22"/>
      <w:szCs w:val="24"/>
      <w:shd w:val="clear" w:color="auto" w:fill="000080"/>
    </w:rPr>
  </w:style>
  <w:style w:type="character" w:customStyle="1" w:styleId="ZhlavChar">
    <w:name w:val="Záhlaví Char"/>
    <w:basedOn w:val="Standardnpsmoodstavce"/>
    <w:link w:val="Zhlav"/>
    <w:semiHidden/>
    <w:rsid w:val="00FD2B4D"/>
    <w:rPr>
      <w:rFonts w:ascii="Arial" w:hAnsi="Arial"/>
      <w:sz w:val="22"/>
      <w:szCs w:val="24"/>
    </w:rPr>
  </w:style>
  <w:style w:type="character" w:customStyle="1" w:styleId="ZpatChar">
    <w:name w:val="Zápatí Char"/>
    <w:basedOn w:val="Standardnpsmoodstavce"/>
    <w:link w:val="Zpat"/>
    <w:uiPriority w:val="99"/>
    <w:rsid w:val="00FD2B4D"/>
    <w:rPr>
      <w:rFonts w:ascii="Arial" w:hAnsi="Arial"/>
      <w:sz w:val="22"/>
      <w:szCs w:val="24"/>
    </w:rPr>
  </w:style>
  <w:style w:type="paragraph" w:customStyle="1" w:styleId="Normln10">
    <w:name w:val="Normální 10"/>
    <w:link w:val="Normln10Char"/>
    <w:rsid w:val="00FD2B4D"/>
    <w:pPr>
      <w:suppressAutoHyphens/>
      <w:spacing w:before="100" w:line="276" w:lineRule="auto"/>
      <w:jc w:val="both"/>
    </w:pPr>
    <w:rPr>
      <w:rFonts w:ascii="Arial" w:hAnsi="Arial"/>
    </w:rPr>
  </w:style>
  <w:style w:type="character" w:customStyle="1" w:styleId="Normln10Char">
    <w:name w:val="Normální 10 Char"/>
    <w:link w:val="Normln10"/>
    <w:locked/>
    <w:rsid w:val="00FD2B4D"/>
    <w:rPr>
      <w:rFonts w:ascii="Arial" w:hAnsi="Arial"/>
    </w:rPr>
  </w:style>
  <w:style w:type="paragraph" w:customStyle="1" w:styleId="paragraph">
    <w:name w:val="paragraph"/>
    <w:basedOn w:val="Normln"/>
    <w:rsid w:val="00FD2B4D"/>
    <w:pPr>
      <w:spacing w:before="100" w:beforeAutospacing="1" w:after="100" w:afterAutospacing="1"/>
    </w:pPr>
    <w:rPr>
      <w:rFonts w:ascii="Times New Roman" w:hAnsi="Times New Roman"/>
      <w:sz w:val="24"/>
    </w:rPr>
  </w:style>
  <w:style w:type="character" w:customStyle="1" w:styleId="normaltextrun">
    <w:name w:val="normaltextrun"/>
    <w:basedOn w:val="Standardnpsmoodstavce"/>
    <w:rsid w:val="00FD2B4D"/>
  </w:style>
  <w:style w:type="character" w:customStyle="1" w:styleId="eop">
    <w:name w:val="eop"/>
    <w:basedOn w:val="Standardnpsmoodstavce"/>
    <w:rsid w:val="00FD2B4D"/>
  </w:style>
  <w:style w:type="paragraph" w:customStyle="1" w:styleId="Point1letter">
    <w:name w:val="Point 1 (letter)"/>
    <w:basedOn w:val="Normln"/>
    <w:qFormat/>
    <w:rsid w:val="00FD2B4D"/>
    <w:pPr>
      <w:spacing w:line="360" w:lineRule="auto"/>
      <w:ind w:left="1418" w:hanging="567"/>
      <w:jc w:val="both"/>
    </w:pPr>
    <w:rPr>
      <w:rFonts w:ascii="Times New Roman" w:eastAsiaTheme="minorHAnsi" w:hAnsi="Times New Roman"/>
      <w:sz w:val="24"/>
      <w:szCs w:val="22"/>
      <w:lang w:eastAsia="en-US"/>
    </w:rPr>
  </w:style>
  <w:style w:type="character" w:customStyle="1" w:styleId="cf01">
    <w:name w:val="cf01"/>
    <w:basedOn w:val="Standardnpsmoodstavce"/>
    <w:rsid w:val="00FD2B4D"/>
    <w:rPr>
      <w:rFonts w:ascii="Segoe UI" w:hAnsi="Segoe UI" w:cs="Segoe UI" w:hint="default"/>
      <w:sz w:val="18"/>
      <w:szCs w:val="18"/>
    </w:rPr>
  </w:style>
  <w:style w:type="paragraph" w:customStyle="1" w:styleId="Default">
    <w:name w:val="Default"/>
    <w:rsid w:val="00534FFE"/>
    <w:pPr>
      <w:autoSpaceDE w:val="0"/>
      <w:autoSpaceDN w:val="0"/>
      <w:adjustRightInd w:val="0"/>
    </w:pPr>
    <w:rPr>
      <w:rFonts w:ascii="Franklin Gothic Book" w:hAnsi="Franklin Gothic Book" w:cs="Franklin Gothic Book"/>
      <w:color w:val="000000"/>
      <w:sz w:val="24"/>
      <w:szCs w:val="24"/>
      <w:lang w:eastAsia="en-US"/>
      <w14:ligatures w14:val="standardContextual"/>
    </w:rPr>
  </w:style>
  <w:style w:type="paragraph" w:customStyle="1" w:styleId="msonormal0">
    <w:name w:val="msonormal"/>
    <w:basedOn w:val="Normln"/>
    <w:rsid w:val="00EB4FB0"/>
    <w:pPr>
      <w:spacing w:before="100" w:beforeAutospacing="1" w:after="100" w:afterAutospacing="1"/>
    </w:pPr>
    <w:rPr>
      <w:rFonts w:ascii="Times New Roman" w:hAnsi="Times New Roman"/>
      <w:sz w:val="24"/>
    </w:rPr>
  </w:style>
  <w:style w:type="character" w:customStyle="1" w:styleId="textrun">
    <w:name w:val="textrun"/>
    <w:basedOn w:val="Standardnpsmoodstavce"/>
    <w:rsid w:val="00EB4FB0"/>
  </w:style>
  <w:style w:type="paragraph" w:customStyle="1" w:styleId="outlineelement">
    <w:name w:val="outlineelement"/>
    <w:basedOn w:val="Normln"/>
    <w:rsid w:val="00EB4FB0"/>
    <w:pPr>
      <w:spacing w:before="100" w:beforeAutospacing="1" w:after="100" w:afterAutospacing="1"/>
    </w:pPr>
    <w:rPr>
      <w:rFonts w:ascii="Times New Roman" w:hAnsi="Times New Roman"/>
      <w:sz w:val="24"/>
    </w:rPr>
  </w:style>
  <w:style w:type="character" w:styleId="Sledovanodkaz">
    <w:name w:val="FollowedHyperlink"/>
    <w:basedOn w:val="Standardnpsmoodstavce"/>
    <w:uiPriority w:val="99"/>
    <w:semiHidden/>
    <w:unhideWhenUsed/>
    <w:rsid w:val="00EB4FB0"/>
    <w:rPr>
      <w:color w:val="800080"/>
      <w:u w:val="single"/>
    </w:rPr>
  </w:style>
  <w:style w:type="table" w:styleId="Tabulkasmkou4zvraznn3">
    <w:name w:val="Grid Table 4 Accent 3"/>
    <w:basedOn w:val="Normlntabulka"/>
    <w:uiPriority w:val="49"/>
    <w:rsid w:val="00DE28BC"/>
    <w:rPr>
      <w:kern w:val="2"/>
      <w:lang w:eastAsia="en-US"/>
      <w14:ligatures w14:val="standardContextual"/>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iln">
    <w:name w:val="Strong"/>
    <w:basedOn w:val="Standardnpsmoodstavce"/>
    <w:uiPriority w:val="22"/>
    <w:qFormat/>
    <w:rsid w:val="00475DD0"/>
    <w:rPr>
      <w:b/>
      <w:bCs/>
    </w:rPr>
  </w:style>
  <w:style w:type="character" w:customStyle="1" w:styleId="Nevyeenzmnka1">
    <w:name w:val="Nevyřešená zmínka1"/>
    <w:basedOn w:val="Standardnpsmoodstavce"/>
    <w:uiPriority w:val="99"/>
    <w:semiHidden/>
    <w:unhideWhenUsed/>
    <w:rsid w:val="00D95898"/>
    <w:rPr>
      <w:color w:val="605E5C"/>
      <w:shd w:val="clear" w:color="auto" w:fill="E1DFDD"/>
    </w:rPr>
  </w:style>
  <w:style w:type="paragraph" w:styleId="Normlnweb">
    <w:name w:val="Normal (Web)"/>
    <w:basedOn w:val="Normln"/>
    <w:uiPriority w:val="99"/>
    <w:unhideWhenUsed/>
    <w:rsid w:val="00D254D6"/>
    <w:pPr>
      <w:spacing w:before="100" w:beforeAutospacing="1" w:after="100" w:afterAutospacing="1"/>
    </w:pPr>
    <w:rPr>
      <w:rFonts w:ascii="Times New Roman" w:hAnsi="Times New Roman"/>
      <w:sz w:val="24"/>
    </w:rPr>
  </w:style>
  <w:style w:type="paragraph" w:customStyle="1" w:styleId="CM1">
    <w:name w:val="CM1"/>
    <w:basedOn w:val="Default"/>
    <w:next w:val="Default"/>
    <w:uiPriority w:val="99"/>
    <w:rsid w:val="00D95898"/>
    <w:rPr>
      <w:rFonts w:ascii="Times New Roman" w:hAnsi="Times New Roman" w:cs="Times New Roman"/>
      <w:color w:val="auto"/>
      <w:lang w:eastAsia="cs-CZ"/>
      <w14:ligatures w14:val="none"/>
    </w:rPr>
  </w:style>
  <w:style w:type="character" w:customStyle="1" w:styleId="ui-provider">
    <w:name w:val="ui-provider"/>
    <w:basedOn w:val="Standardnpsmoodstavce"/>
    <w:rsid w:val="007D0BAA"/>
  </w:style>
  <w:style w:type="paragraph" w:customStyle="1" w:styleId="Zdroj">
    <w:name w:val="Zdroj"/>
    <w:basedOn w:val="Normln"/>
    <w:link w:val="ZdrojChar"/>
    <w:uiPriority w:val="1"/>
    <w:qFormat/>
    <w:rsid w:val="002F3B74"/>
    <w:pPr>
      <w:widowControl w:val="0"/>
      <w:autoSpaceDE w:val="0"/>
      <w:autoSpaceDN w:val="0"/>
      <w:spacing w:after="240"/>
      <w:jc w:val="right"/>
    </w:pPr>
    <w:rPr>
      <w:rFonts w:asciiTheme="minorHAnsi" w:eastAsia="Graphik LG Regular" w:hAnsiTheme="minorHAnsi" w:cs="Graphik LG Regular"/>
      <w:i/>
      <w:sz w:val="18"/>
      <w:szCs w:val="18"/>
      <w:lang w:eastAsia="en-US"/>
    </w:rPr>
  </w:style>
  <w:style w:type="character" w:customStyle="1" w:styleId="ZdrojChar">
    <w:name w:val="Zdroj Char"/>
    <w:basedOn w:val="Standardnpsmoodstavce"/>
    <w:link w:val="Zdroj"/>
    <w:uiPriority w:val="1"/>
    <w:rsid w:val="002F3B74"/>
    <w:rPr>
      <w:rFonts w:asciiTheme="minorHAnsi" w:eastAsia="Graphik LG Regular" w:hAnsiTheme="minorHAnsi" w:cs="Graphik LG Regular"/>
      <w: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283">
      <w:bodyDiv w:val="1"/>
      <w:marLeft w:val="0"/>
      <w:marRight w:val="0"/>
      <w:marTop w:val="0"/>
      <w:marBottom w:val="0"/>
      <w:divBdr>
        <w:top w:val="none" w:sz="0" w:space="0" w:color="auto"/>
        <w:left w:val="none" w:sz="0" w:space="0" w:color="auto"/>
        <w:bottom w:val="none" w:sz="0" w:space="0" w:color="auto"/>
        <w:right w:val="none" w:sz="0" w:space="0" w:color="auto"/>
      </w:divBdr>
    </w:div>
    <w:div w:id="36707679">
      <w:bodyDiv w:val="1"/>
      <w:marLeft w:val="0"/>
      <w:marRight w:val="0"/>
      <w:marTop w:val="0"/>
      <w:marBottom w:val="0"/>
      <w:divBdr>
        <w:top w:val="none" w:sz="0" w:space="0" w:color="auto"/>
        <w:left w:val="none" w:sz="0" w:space="0" w:color="auto"/>
        <w:bottom w:val="none" w:sz="0" w:space="0" w:color="auto"/>
        <w:right w:val="none" w:sz="0" w:space="0" w:color="auto"/>
      </w:divBdr>
    </w:div>
    <w:div w:id="152255933">
      <w:bodyDiv w:val="1"/>
      <w:marLeft w:val="0"/>
      <w:marRight w:val="0"/>
      <w:marTop w:val="0"/>
      <w:marBottom w:val="0"/>
      <w:divBdr>
        <w:top w:val="none" w:sz="0" w:space="0" w:color="auto"/>
        <w:left w:val="none" w:sz="0" w:space="0" w:color="auto"/>
        <w:bottom w:val="none" w:sz="0" w:space="0" w:color="auto"/>
        <w:right w:val="none" w:sz="0" w:space="0" w:color="auto"/>
      </w:divBdr>
    </w:div>
    <w:div w:id="196429195">
      <w:bodyDiv w:val="1"/>
      <w:marLeft w:val="0"/>
      <w:marRight w:val="0"/>
      <w:marTop w:val="0"/>
      <w:marBottom w:val="0"/>
      <w:divBdr>
        <w:top w:val="none" w:sz="0" w:space="0" w:color="auto"/>
        <w:left w:val="none" w:sz="0" w:space="0" w:color="auto"/>
        <w:bottom w:val="none" w:sz="0" w:space="0" w:color="auto"/>
        <w:right w:val="none" w:sz="0" w:space="0" w:color="auto"/>
      </w:divBdr>
    </w:div>
    <w:div w:id="241917709">
      <w:bodyDiv w:val="1"/>
      <w:marLeft w:val="0"/>
      <w:marRight w:val="0"/>
      <w:marTop w:val="0"/>
      <w:marBottom w:val="0"/>
      <w:divBdr>
        <w:top w:val="none" w:sz="0" w:space="0" w:color="auto"/>
        <w:left w:val="none" w:sz="0" w:space="0" w:color="auto"/>
        <w:bottom w:val="none" w:sz="0" w:space="0" w:color="auto"/>
        <w:right w:val="none" w:sz="0" w:space="0" w:color="auto"/>
      </w:divBdr>
    </w:div>
    <w:div w:id="248854019">
      <w:bodyDiv w:val="1"/>
      <w:marLeft w:val="0"/>
      <w:marRight w:val="0"/>
      <w:marTop w:val="0"/>
      <w:marBottom w:val="0"/>
      <w:divBdr>
        <w:top w:val="none" w:sz="0" w:space="0" w:color="auto"/>
        <w:left w:val="none" w:sz="0" w:space="0" w:color="auto"/>
        <w:bottom w:val="none" w:sz="0" w:space="0" w:color="auto"/>
        <w:right w:val="none" w:sz="0" w:space="0" w:color="auto"/>
      </w:divBdr>
    </w:div>
    <w:div w:id="256256275">
      <w:bodyDiv w:val="1"/>
      <w:marLeft w:val="0"/>
      <w:marRight w:val="0"/>
      <w:marTop w:val="0"/>
      <w:marBottom w:val="0"/>
      <w:divBdr>
        <w:top w:val="none" w:sz="0" w:space="0" w:color="auto"/>
        <w:left w:val="none" w:sz="0" w:space="0" w:color="auto"/>
        <w:bottom w:val="none" w:sz="0" w:space="0" w:color="auto"/>
        <w:right w:val="none" w:sz="0" w:space="0" w:color="auto"/>
      </w:divBdr>
    </w:div>
    <w:div w:id="288976275">
      <w:bodyDiv w:val="1"/>
      <w:marLeft w:val="0"/>
      <w:marRight w:val="0"/>
      <w:marTop w:val="0"/>
      <w:marBottom w:val="0"/>
      <w:divBdr>
        <w:top w:val="none" w:sz="0" w:space="0" w:color="auto"/>
        <w:left w:val="none" w:sz="0" w:space="0" w:color="auto"/>
        <w:bottom w:val="none" w:sz="0" w:space="0" w:color="auto"/>
        <w:right w:val="none" w:sz="0" w:space="0" w:color="auto"/>
      </w:divBdr>
    </w:div>
    <w:div w:id="407190171">
      <w:bodyDiv w:val="1"/>
      <w:marLeft w:val="0"/>
      <w:marRight w:val="0"/>
      <w:marTop w:val="0"/>
      <w:marBottom w:val="0"/>
      <w:divBdr>
        <w:top w:val="none" w:sz="0" w:space="0" w:color="auto"/>
        <w:left w:val="none" w:sz="0" w:space="0" w:color="auto"/>
        <w:bottom w:val="none" w:sz="0" w:space="0" w:color="auto"/>
        <w:right w:val="none" w:sz="0" w:space="0" w:color="auto"/>
      </w:divBdr>
    </w:div>
    <w:div w:id="441923538">
      <w:bodyDiv w:val="1"/>
      <w:marLeft w:val="0"/>
      <w:marRight w:val="0"/>
      <w:marTop w:val="0"/>
      <w:marBottom w:val="0"/>
      <w:divBdr>
        <w:top w:val="none" w:sz="0" w:space="0" w:color="auto"/>
        <w:left w:val="none" w:sz="0" w:space="0" w:color="auto"/>
        <w:bottom w:val="none" w:sz="0" w:space="0" w:color="auto"/>
        <w:right w:val="none" w:sz="0" w:space="0" w:color="auto"/>
      </w:divBdr>
    </w:div>
    <w:div w:id="445854330">
      <w:bodyDiv w:val="1"/>
      <w:marLeft w:val="0"/>
      <w:marRight w:val="0"/>
      <w:marTop w:val="0"/>
      <w:marBottom w:val="0"/>
      <w:divBdr>
        <w:top w:val="none" w:sz="0" w:space="0" w:color="auto"/>
        <w:left w:val="none" w:sz="0" w:space="0" w:color="auto"/>
        <w:bottom w:val="none" w:sz="0" w:space="0" w:color="auto"/>
        <w:right w:val="none" w:sz="0" w:space="0" w:color="auto"/>
      </w:divBdr>
    </w:div>
    <w:div w:id="477960720">
      <w:bodyDiv w:val="1"/>
      <w:marLeft w:val="0"/>
      <w:marRight w:val="0"/>
      <w:marTop w:val="0"/>
      <w:marBottom w:val="0"/>
      <w:divBdr>
        <w:top w:val="none" w:sz="0" w:space="0" w:color="auto"/>
        <w:left w:val="none" w:sz="0" w:space="0" w:color="auto"/>
        <w:bottom w:val="none" w:sz="0" w:space="0" w:color="auto"/>
        <w:right w:val="none" w:sz="0" w:space="0" w:color="auto"/>
      </w:divBdr>
    </w:div>
    <w:div w:id="479425234">
      <w:bodyDiv w:val="1"/>
      <w:marLeft w:val="0"/>
      <w:marRight w:val="0"/>
      <w:marTop w:val="0"/>
      <w:marBottom w:val="0"/>
      <w:divBdr>
        <w:top w:val="none" w:sz="0" w:space="0" w:color="auto"/>
        <w:left w:val="none" w:sz="0" w:space="0" w:color="auto"/>
        <w:bottom w:val="none" w:sz="0" w:space="0" w:color="auto"/>
        <w:right w:val="none" w:sz="0" w:space="0" w:color="auto"/>
      </w:divBdr>
    </w:div>
    <w:div w:id="503863986">
      <w:bodyDiv w:val="1"/>
      <w:marLeft w:val="0"/>
      <w:marRight w:val="0"/>
      <w:marTop w:val="0"/>
      <w:marBottom w:val="0"/>
      <w:divBdr>
        <w:top w:val="none" w:sz="0" w:space="0" w:color="auto"/>
        <w:left w:val="none" w:sz="0" w:space="0" w:color="auto"/>
        <w:bottom w:val="none" w:sz="0" w:space="0" w:color="auto"/>
        <w:right w:val="none" w:sz="0" w:space="0" w:color="auto"/>
      </w:divBdr>
    </w:div>
    <w:div w:id="558128611">
      <w:bodyDiv w:val="1"/>
      <w:marLeft w:val="0"/>
      <w:marRight w:val="0"/>
      <w:marTop w:val="0"/>
      <w:marBottom w:val="0"/>
      <w:divBdr>
        <w:top w:val="none" w:sz="0" w:space="0" w:color="auto"/>
        <w:left w:val="none" w:sz="0" w:space="0" w:color="auto"/>
        <w:bottom w:val="none" w:sz="0" w:space="0" w:color="auto"/>
        <w:right w:val="none" w:sz="0" w:space="0" w:color="auto"/>
      </w:divBdr>
    </w:div>
    <w:div w:id="587616962">
      <w:bodyDiv w:val="1"/>
      <w:marLeft w:val="0"/>
      <w:marRight w:val="0"/>
      <w:marTop w:val="0"/>
      <w:marBottom w:val="0"/>
      <w:divBdr>
        <w:top w:val="none" w:sz="0" w:space="0" w:color="auto"/>
        <w:left w:val="none" w:sz="0" w:space="0" w:color="auto"/>
        <w:bottom w:val="none" w:sz="0" w:space="0" w:color="auto"/>
        <w:right w:val="none" w:sz="0" w:space="0" w:color="auto"/>
      </w:divBdr>
    </w:div>
    <w:div w:id="591593560">
      <w:bodyDiv w:val="1"/>
      <w:marLeft w:val="0"/>
      <w:marRight w:val="0"/>
      <w:marTop w:val="0"/>
      <w:marBottom w:val="0"/>
      <w:divBdr>
        <w:top w:val="none" w:sz="0" w:space="0" w:color="auto"/>
        <w:left w:val="none" w:sz="0" w:space="0" w:color="auto"/>
        <w:bottom w:val="none" w:sz="0" w:space="0" w:color="auto"/>
        <w:right w:val="none" w:sz="0" w:space="0" w:color="auto"/>
      </w:divBdr>
    </w:div>
    <w:div w:id="614990464">
      <w:bodyDiv w:val="1"/>
      <w:marLeft w:val="0"/>
      <w:marRight w:val="0"/>
      <w:marTop w:val="0"/>
      <w:marBottom w:val="0"/>
      <w:divBdr>
        <w:top w:val="none" w:sz="0" w:space="0" w:color="auto"/>
        <w:left w:val="none" w:sz="0" w:space="0" w:color="auto"/>
        <w:bottom w:val="none" w:sz="0" w:space="0" w:color="auto"/>
        <w:right w:val="none" w:sz="0" w:space="0" w:color="auto"/>
      </w:divBdr>
    </w:div>
    <w:div w:id="632563066">
      <w:bodyDiv w:val="1"/>
      <w:marLeft w:val="0"/>
      <w:marRight w:val="0"/>
      <w:marTop w:val="0"/>
      <w:marBottom w:val="0"/>
      <w:divBdr>
        <w:top w:val="none" w:sz="0" w:space="0" w:color="auto"/>
        <w:left w:val="none" w:sz="0" w:space="0" w:color="auto"/>
        <w:bottom w:val="none" w:sz="0" w:space="0" w:color="auto"/>
        <w:right w:val="none" w:sz="0" w:space="0" w:color="auto"/>
      </w:divBdr>
    </w:div>
    <w:div w:id="643777808">
      <w:bodyDiv w:val="1"/>
      <w:marLeft w:val="0"/>
      <w:marRight w:val="0"/>
      <w:marTop w:val="0"/>
      <w:marBottom w:val="0"/>
      <w:divBdr>
        <w:top w:val="none" w:sz="0" w:space="0" w:color="auto"/>
        <w:left w:val="none" w:sz="0" w:space="0" w:color="auto"/>
        <w:bottom w:val="none" w:sz="0" w:space="0" w:color="auto"/>
        <w:right w:val="none" w:sz="0" w:space="0" w:color="auto"/>
      </w:divBdr>
      <w:divsChild>
        <w:div w:id="1379011766">
          <w:marLeft w:val="1138"/>
          <w:marRight w:val="0"/>
          <w:marTop w:val="48"/>
          <w:marBottom w:val="0"/>
          <w:divBdr>
            <w:top w:val="none" w:sz="0" w:space="0" w:color="auto"/>
            <w:left w:val="none" w:sz="0" w:space="0" w:color="auto"/>
            <w:bottom w:val="none" w:sz="0" w:space="0" w:color="auto"/>
            <w:right w:val="none" w:sz="0" w:space="0" w:color="auto"/>
          </w:divBdr>
        </w:div>
        <w:div w:id="2104763980">
          <w:marLeft w:val="1138"/>
          <w:marRight w:val="0"/>
          <w:marTop w:val="48"/>
          <w:marBottom w:val="0"/>
          <w:divBdr>
            <w:top w:val="none" w:sz="0" w:space="0" w:color="auto"/>
            <w:left w:val="none" w:sz="0" w:space="0" w:color="auto"/>
            <w:bottom w:val="none" w:sz="0" w:space="0" w:color="auto"/>
            <w:right w:val="none" w:sz="0" w:space="0" w:color="auto"/>
          </w:divBdr>
        </w:div>
        <w:div w:id="826869805">
          <w:marLeft w:val="1138"/>
          <w:marRight w:val="0"/>
          <w:marTop w:val="48"/>
          <w:marBottom w:val="0"/>
          <w:divBdr>
            <w:top w:val="none" w:sz="0" w:space="0" w:color="auto"/>
            <w:left w:val="none" w:sz="0" w:space="0" w:color="auto"/>
            <w:bottom w:val="none" w:sz="0" w:space="0" w:color="auto"/>
            <w:right w:val="none" w:sz="0" w:space="0" w:color="auto"/>
          </w:divBdr>
        </w:div>
        <w:div w:id="793981151">
          <w:marLeft w:val="1138"/>
          <w:marRight w:val="0"/>
          <w:marTop w:val="48"/>
          <w:marBottom w:val="0"/>
          <w:divBdr>
            <w:top w:val="none" w:sz="0" w:space="0" w:color="auto"/>
            <w:left w:val="none" w:sz="0" w:space="0" w:color="auto"/>
            <w:bottom w:val="none" w:sz="0" w:space="0" w:color="auto"/>
            <w:right w:val="none" w:sz="0" w:space="0" w:color="auto"/>
          </w:divBdr>
        </w:div>
        <w:div w:id="781606278">
          <w:marLeft w:val="1138"/>
          <w:marRight w:val="0"/>
          <w:marTop w:val="48"/>
          <w:marBottom w:val="0"/>
          <w:divBdr>
            <w:top w:val="none" w:sz="0" w:space="0" w:color="auto"/>
            <w:left w:val="none" w:sz="0" w:space="0" w:color="auto"/>
            <w:bottom w:val="none" w:sz="0" w:space="0" w:color="auto"/>
            <w:right w:val="none" w:sz="0" w:space="0" w:color="auto"/>
          </w:divBdr>
        </w:div>
        <w:div w:id="211040235">
          <w:marLeft w:val="1138"/>
          <w:marRight w:val="0"/>
          <w:marTop w:val="48"/>
          <w:marBottom w:val="0"/>
          <w:divBdr>
            <w:top w:val="none" w:sz="0" w:space="0" w:color="auto"/>
            <w:left w:val="none" w:sz="0" w:space="0" w:color="auto"/>
            <w:bottom w:val="none" w:sz="0" w:space="0" w:color="auto"/>
            <w:right w:val="none" w:sz="0" w:space="0" w:color="auto"/>
          </w:divBdr>
        </w:div>
        <w:div w:id="966197870">
          <w:marLeft w:val="1138"/>
          <w:marRight w:val="0"/>
          <w:marTop w:val="48"/>
          <w:marBottom w:val="0"/>
          <w:divBdr>
            <w:top w:val="none" w:sz="0" w:space="0" w:color="auto"/>
            <w:left w:val="none" w:sz="0" w:space="0" w:color="auto"/>
            <w:bottom w:val="none" w:sz="0" w:space="0" w:color="auto"/>
            <w:right w:val="none" w:sz="0" w:space="0" w:color="auto"/>
          </w:divBdr>
        </w:div>
        <w:div w:id="857082207">
          <w:marLeft w:val="1138"/>
          <w:marRight w:val="0"/>
          <w:marTop w:val="48"/>
          <w:marBottom w:val="0"/>
          <w:divBdr>
            <w:top w:val="none" w:sz="0" w:space="0" w:color="auto"/>
            <w:left w:val="none" w:sz="0" w:space="0" w:color="auto"/>
            <w:bottom w:val="none" w:sz="0" w:space="0" w:color="auto"/>
            <w:right w:val="none" w:sz="0" w:space="0" w:color="auto"/>
          </w:divBdr>
        </w:div>
        <w:div w:id="736175020">
          <w:marLeft w:val="1138"/>
          <w:marRight w:val="0"/>
          <w:marTop w:val="48"/>
          <w:marBottom w:val="0"/>
          <w:divBdr>
            <w:top w:val="none" w:sz="0" w:space="0" w:color="auto"/>
            <w:left w:val="none" w:sz="0" w:space="0" w:color="auto"/>
            <w:bottom w:val="none" w:sz="0" w:space="0" w:color="auto"/>
            <w:right w:val="none" w:sz="0" w:space="0" w:color="auto"/>
          </w:divBdr>
        </w:div>
        <w:div w:id="227769011">
          <w:marLeft w:val="1138"/>
          <w:marRight w:val="0"/>
          <w:marTop w:val="48"/>
          <w:marBottom w:val="0"/>
          <w:divBdr>
            <w:top w:val="none" w:sz="0" w:space="0" w:color="auto"/>
            <w:left w:val="none" w:sz="0" w:space="0" w:color="auto"/>
            <w:bottom w:val="none" w:sz="0" w:space="0" w:color="auto"/>
            <w:right w:val="none" w:sz="0" w:space="0" w:color="auto"/>
          </w:divBdr>
        </w:div>
        <w:div w:id="139810260">
          <w:marLeft w:val="1138"/>
          <w:marRight w:val="0"/>
          <w:marTop w:val="48"/>
          <w:marBottom w:val="0"/>
          <w:divBdr>
            <w:top w:val="none" w:sz="0" w:space="0" w:color="auto"/>
            <w:left w:val="none" w:sz="0" w:space="0" w:color="auto"/>
            <w:bottom w:val="none" w:sz="0" w:space="0" w:color="auto"/>
            <w:right w:val="none" w:sz="0" w:space="0" w:color="auto"/>
          </w:divBdr>
        </w:div>
        <w:div w:id="868496412">
          <w:marLeft w:val="1138"/>
          <w:marRight w:val="0"/>
          <w:marTop w:val="48"/>
          <w:marBottom w:val="0"/>
          <w:divBdr>
            <w:top w:val="none" w:sz="0" w:space="0" w:color="auto"/>
            <w:left w:val="none" w:sz="0" w:space="0" w:color="auto"/>
            <w:bottom w:val="none" w:sz="0" w:space="0" w:color="auto"/>
            <w:right w:val="none" w:sz="0" w:space="0" w:color="auto"/>
          </w:divBdr>
        </w:div>
        <w:div w:id="1791119601">
          <w:marLeft w:val="1138"/>
          <w:marRight w:val="0"/>
          <w:marTop w:val="48"/>
          <w:marBottom w:val="0"/>
          <w:divBdr>
            <w:top w:val="none" w:sz="0" w:space="0" w:color="auto"/>
            <w:left w:val="none" w:sz="0" w:space="0" w:color="auto"/>
            <w:bottom w:val="none" w:sz="0" w:space="0" w:color="auto"/>
            <w:right w:val="none" w:sz="0" w:space="0" w:color="auto"/>
          </w:divBdr>
        </w:div>
        <w:div w:id="131409934">
          <w:marLeft w:val="1138"/>
          <w:marRight w:val="0"/>
          <w:marTop w:val="48"/>
          <w:marBottom w:val="0"/>
          <w:divBdr>
            <w:top w:val="none" w:sz="0" w:space="0" w:color="auto"/>
            <w:left w:val="none" w:sz="0" w:space="0" w:color="auto"/>
            <w:bottom w:val="none" w:sz="0" w:space="0" w:color="auto"/>
            <w:right w:val="none" w:sz="0" w:space="0" w:color="auto"/>
          </w:divBdr>
        </w:div>
        <w:div w:id="1447045234">
          <w:marLeft w:val="1138"/>
          <w:marRight w:val="0"/>
          <w:marTop w:val="48"/>
          <w:marBottom w:val="0"/>
          <w:divBdr>
            <w:top w:val="none" w:sz="0" w:space="0" w:color="auto"/>
            <w:left w:val="none" w:sz="0" w:space="0" w:color="auto"/>
            <w:bottom w:val="none" w:sz="0" w:space="0" w:color="auto"/>
            <w:right w:val="none" w:sz="0" w:space="0" w:color="auto"/>
          </w:divBdr>
        </w:div>
      </w:divsChild>
    </w:div>
    <w:div w:id="675689442">
      <w:bodyDiv w:val="1"/>
      <w:marLeft w:val="0"/>
      <w:marRight w:val="0"/>
      <w:marTop w:val="0"/>
      <w:marBottom w:val="0"/>
      <w:divBdr>
        <w:top w:val="none" w:sz="0" w:space="0" w:color="auto"/>
        <w:left w:val="none" w:sz="0" w:space="0" w:color="auto"/>
        <w:bottom w:val="none" w:sz="0" w:space="0" w:color="auto"/>
        <w:right w:val="none" w:sz="0" w:space="0" w:color="auto"/>
      </w:divBdr>
    </w:div>
    <w:div w:id="717094951">
      <w:bodyDiv w:val="1"/>
      <w:marLeft w:val="0"/>
      <w:marRight w:val="0"/>
      <w:marTop w:val="0"/>
      <w:marBottom w:val="0"/>
      <w:divBdr>
        <w:top w:val="none" w:sz="0" w:space="0" w:color="auto"/>
        <w:left w:val="none" w:sz="0" w:space="0" w:color="auto"/>
        <w:bottom w:val="none" w:sz="0" w:space="0" w:color="auto"/>
        <w:right w:val="none" w:sz="0" w:space="0" w:color="auto"/>
      </w:divBdr>
    </w:div>
    <w:div w:id="746415494">
      <w:bodyDiv w:val="1"/>
      <w:marLeft w:val="0"/>
      <w:marRight w:val="0"/>
      <w:marTop w:val="0"/>
      <w:marBottom w:val="0"/>
      <w:divBdr>
        <w:top w:val="none" w:sz="0" w:space="0" w:color="auto"/>
        <w:left w:val="none" w:sz="0" w:space="0" w:color="auto"/>
        <w:bottom w:val="none" w:sz="0" w:space="0" w:color="auto"/>
        <w:right w:val="none" w:sz="0" w:space="0" w:color="auto"/>
      </w:divBdr>
    </w:div>
    <w:div w:id="778991524">
      <w:bodyDiv w:val="1"/>
      <w:marLeft w:val="0"/>
      <w:marRight w:val="0"/>
      <w:marTop w:val="0"/>
      <w:marBottom w:val="0"/>
      <w:divBdr>
        <w:top w:val="none" w:sz="0" w:space="0" w:color="auto"/>
        <w:left w:val="none" w:sz="0" w:space="0" w:color="auto"/>
        <w:bottom w:val="none" w:sz="0" w:space="0" w:color="auto"/>
        <w:right w:val="none" w:sz="0" w:space="0" w:color="auto"/>
      </w:divBdr>
    </w:div>
    <w:div w:id="781414549">
      <w:bodyDiv w:val="1"/>
      <w:marLeft w:val="0"/>
      <w:marRight w:val="0"/>
      <w:marTop w:val="0"/>
      <w:marBottom w:val="0"/>
      <w:divBdr>
        <w:top w:val="none" w:sz="0" w:space="0" w:color="auto"/>
        <w:left w:val="none" w:sz="0" w:space="0" w:color="auto"/>
        <w:bottom w:val="none" w:sz="0" w:space="0" w:color="auto"/>
        <w:right w:val="none" w:sz="0" w:space="0" w:color="auto"/>
      </w:divBdr>
    </w:div>
    <w:div w:id="811488404">
      <w:bodyDiv w:val="1"/>
      <w:marLeft w:val="0"/>
      <w:marRight w:val="0"/>
      <w:marTop w:val="0"/>
      <w:marBottom w:val="0"/>
      <w:divBdr>
        <w:top w:val="none" w:sz="0" w:space="0" w:color="auto"/>
        <w:left w:val="none" w:sz="0" w:space="0" w:color="auto"/>
        <w:bottom w:val="none" w:sz="0" w:space="0" w:color="auto"/>
        <w:right w:val="none" w:sz="0" w:space="0" w:color="auto"/>
      </w:divBdr>
    </w:div>
    <w:div w:id="844902855">
      <w:bodyDiv w:val="1"/>
      <w:marLeft w:val="0"/>
      <w:marRight w:val="0"/>
      <w:marTop w:val="0"/>
      <w:marBottom w:val="0"/>
      <w:divBdr>
        <w:top w:val="none" w:sz="0" w:space="0" w:color="auto"/>
        <w:left w:val="none" w:sz="0" w:space="0" w:color="auto"/>
        <w:bottom w:val="none" w:sz="0" w:space="0" w:color="auto"/>
        <w:right w:val="none" w:sz="0" w:space="0" w:color="auto"/>
      </w:divBdr>
    </w:div>
    <w:div w:id="850337152">
      <w:bodyDiv w:val="1"/>
      <w:marLeft w:val="0"/>
      <w:marRight w:val="0"/>
      <w:marTop w:val="0"/>
      <w:marBottom w:val="0"/>
      <w:divBdr>
        <w:top w:val="none" w:sz="0" w:space="0" w:color="auto"/>
        <w:left w:val="none" w:sz="0" w:space="0" w:color="auto"/>
        <w:bottom w:val="none" w:sz="0" w:space="0" w:color="auto"/>
        <w:right w:val="none" w:sz="0" w:space="0" w:color="auto"/>
      </w:divBdr>
    </w:div>
    <w:div w:id="914972846">
      <w:bodyDiv w:val="1"/>
      <w:marLeft w:val="0"/>
      <w:marRight w:val="0"/>
      <w:marTop w:val="0"/>
      <w:marBottom w:val="0"/>
      <w:divBdr>
        <w:top w:val="none" w:sz="0" w:space="0" w:color="auto"/>
        <w:left w:val="none" w:sz="0" w:space="0" w:color="auto"/>
        <w:bottom w:val="none" w:sz="0" w:space="0" w:color="auto"/>
        <w:right w:val="none" w:sz="0" w:space="0" w:color="auto"/>
      </w:divBdr>
    </w:div>
    <w:div w:id="947152539">
      <w:bodyDiv w:val="1"/>
      <w:marLeft w:val="0"/>
      <w:marRight w:val="0"/>
      <w:marTop w:val="0"/>
      <w:marBottom w:val="0"/>
      <w:divBdr>
        <w:top w:val="none" w:sz="0" w:space="0" w:color="auto"/>
        <w:left w:val="none" w:sz="0" w:space="0" w:color="auto"/>
        <w:bottom w:val="none" w:sz="0" w:space="0" w:color="auto"/>
        <w:right w:val="none" w:sz="0" w:space="0" w:color="auto"/>
      </w:divBdr>
    </w:div>
    <w:div w:id="978073203">
      <w:bodyDiv w:val="1"/>
      <w:marLeft w:val="0"/>
      <w:marRight w:val="0"/>
      <w:marTop w:val="0"/>
      <w:marBottom w:val="0"/>
      <w:divBdr>
        <w:top w:val="none" w:sz="0" w:space="0" w:color="auto"/>
        <w:left w:val="none" w:sz="0" w:space="0" w:color="auto"/>
        <w:bottom w:val="none" w:sz="0" w:space="0" w:color="auto"/>
        <w:right w:val="none" w:sz="0" w:space="0" w:color="auto"/>
      </w:divBdr>
    </w:div>
    <w:div w:id="982853433">
      <w:bodyDiv w:val="1"/>
      <w:marLeft w:val="0"/>
      <w:marRight w:val="0"/>
      <w:marTop w:val="0"/>
      <w:marBottom w:val="0"/>
      <w:divBdr>
        <w:top w:val="none" w:sz="0" w:space="0" w:color="auto"/>
        <w:left w:val="none" w:sz="0" w:space="0" w:color="auto"/>
        <w:bottom w:val="none" w:sz="0" w:space="0" w:color="auto"/>
        <w:right w:val="none" w:sz="0" w:space="0" w:color="auto"/>
      </w:divBdr>
    </w:div>
    <w:div w:id="996228329">
      <w:bodyDiv w:val="1"/>
      <w:marLeft w:val="0"/>
      <w:marRight w:val="0"/>
      <w:marTop w:val="0"/>
      <w:marBottom w:val="0"/>
      <w:divBdr>
        <w:top w:val="none" w:sz="0" w:space="0" w:color="auto"/>
        <w:left w:val="none" w:sz="0" w:space="0" w:color="auto"/>
        <w:bottom w:val="none" w:sz="0" w:space="0" w:color="auto"/>
        <w:right w:val="none" w:sz="0" w:space="0" w:color="auto"/>
      </w:divBdr>
    </w:div>
    <w:div w:id="1013265413">
      <w:bodyDiv w:val="1"/>
      <w:marLeft w:val="0"/>
      <w:marRight w:val="0"/>
      <w:marTop w:val="0"/>
      <w:marBottom w:val="0"/>
      <w:divBdr>
        <w:top w:val="none" w:sz="0" w:space="0" w:color="auto"/>
        <w:left w:val="none" w:sz="0" w:space="0" w:color="auto"/>
        <w:bottom w:val="none" w:sz="0" w:space="0" w:color="auto"/>
        <w:right w:val="none" w:sz="0" w:space="0" w:color="auto"/>
      </w:divBdr>
    </w:div>
    <w:div w:id="1030692495">
      <w:bodyDiv w:val="1"/>
      <w:marLeft w:val="0"/>
      <w:marRight w:val="0"/>
      <w:marTop w:val="0"/>
      <w:marBottom w:val="0"/>
      <w:divBdr>
        <w:top w:val="none" w:sz="0" w:space="0" w:color="auto"/>
        <w:left w:val="none" w:sz="0" w:space="0" w:color="auto"/>
        <w:bottom w:val="none" w:sz="0" w:space="0" w:color="auto"/>
        <w:right w:val="none" w:sz="0" w:space="0" w:color="auto"/>
      </w:divBdr>
    </w:div>
    <w:div w:id="1105078840">
      <w:bodyDiv w:val="1"/>
      <w:marLeft w:val="0"/>
      <w:marRight w:val="0"/>
      <w:marTop w:val="0"/>
      <w:marBottom w:val="0"/>
      <w:divBdr>
        <w:top w:val="none" w:sz="0" w:space="0" w:color="auto"/>
        <w:left w:val="none" w:sz="0" w:space="0" w:color="auto"/>
        <w:bottom w:val="none" w:sz="0" w:space="0" w:color="auto"/>
        <w:right w:val="none" w:sz="0" w:space="0" w:color="auto"/>
      </w:divBdr>
    </w:div>
    <w:div w:id="1200512064">
      <w:bodyDiv w:val="1"/>
      <w:marLeft w:val="0"/>
      <w:marRight w:val="0"/>
      <w:marTop w:val="0"/>
      <w:marBottom w:val="0"/>
      <w:divBdr>
        <w:top w:val="none" w:sz="0" w:space="0" w:color="auto"/>
        <w:left w:val="none" w:sz="0" w:space="0" w:color="auto"/>
        <w:bottom w:val="none" w:sz="0" w:space="0" w:color="auto"/>
        <w:right w:val="none" w:sz="0" w:space="0" w:color="auto"/>
      </w:divBdr>
    </w:div>
    <w:div w:id="1200976541">
      <w:bodyDiv w:val="1"/>
      <w:marLeft w:val="0"/>
      <w:marRight w:val="0"/>
      <w:marTop w:val="0"/>
      <w:marBottom w:val="0"/>
      <w:divBdr>
        <w:top w:val="none" w:sz="0" w:space="0" w:color="auto"/>
        <w:left w:val="none" w:sz="0" w:space="0" w:color="auto"/>
        <w:bottom w:val="none" w:sz="0" w:space="0" w:color="auto"/>
        <w:right w:val="none" w:sz="0" w:space="0" w:color="auto"/>
      </w:divBdr>
    </w:div>
    <w:div w:id="1211066282">
      <w:bodyDiv w:val="1"/>
      <w:marLeft w:val="0"/>
      <w:marRight w:val="0"/>
      <w:marTop w:val="0"/>
      <w:marBottom w:val="0"/>
      <w:divBdr>
        <w:top w:val="none" w:sz="0" w:space="0" w:color="auto"/>
        <w:left w:val="none" w:sz="0" w:space="0" w:color="auto"/>
        <w:bottom w:val="none" w:sz="0" w:space="0" w:color="auto"/>
        <w:right w:val="none" w:sz="0" w:space="0" w:color="auto"/>
      </w:divBdr>
    </w:div>
    <w:div w:id="1280380153">
      <w:bodyDiv w:val="1"/>
      <w:marLeft w:val="0"/>
      <w:marRight w:val="0"/>
      <w:marTop w:val="0"/>
      <w:marBottom w:val="0"/>
      <w:divBdr>
        <w:top w:val="none" w:sz="0" w:space="0" w:color="auto"/>
        <w:left w:val="none" w:sz="0" w:space="0" w:color="auto"/>
        <w:bottom w:val="none" w:sz="0" w:space="0" w:color="auto"/>
        <w:right w:val="none" w:sz="0" w:space="0" w:color="auto"/>
      </w:divBdr>
    </w:div>
    <w:div w:id="1295871972">
      <w:bodyDiv w:val="1"/>
      <w:marLeft w:val="0"/>
      <w:marRight w:val="0"/>
      <w:marTop w:val="0"/>
      <w:marBottom w:val="0"/>
      <w:divBdr>
        <w:top w:val="none" w:sz="0" w:space="0" w:color="auto"/>
        <w:left w:val="none" w:sz="0" w:space="0" w:color="auto"/>
        <w:bottom w:val="none" w:sz="0" w:space="0" w:color="auto"/>
        <w:right w:val="none" w:sz="0" w:space="0" w:color="auto"/>
      </w:divBdr>
    </w:div>
    <w:div w:id="1297418920">
      <w:bodyDiv w:val="1"/>
      <w:marLeft w:val="0"/>
      <w:marRight w:val="0"/>
      <w:marTop w:val="0"/>
      <w:marBottom w:val="0"/>
      <w:divBdr>
        <w:top w:val="none" w:sz="0" w:space="0" w:color="auto"/>
        <w:left w:val="none" w:sz="0" w:space="0" w:color="auto"/>
        <w:bottom w:val="none" w:sz="0" w:space="0" w:color="auto"/>
        <w:right w:val="none" w:sz="0" w:space="0" w:color="auto"/>
      </w:divBdr>
    </w:div>
    <w:div w:id="1403218067">
      <w:bodyDiv w:val="1"/>
      <w:marLeft w:val="0"/>
      <w:marRight w:val="0"/>
      <w:marTop w:val="0"/>
      <w:marBottom w:val="0"/>
      <w:divBdr>
        <w:top w:val="none" w:sz="0" w:space="0" w:color="auto"/>
        <w:left w:val="none" w:sz="0" w:space="0" w:color="auto"/>
        <w:bottom w:val="none" w:sz="0" w:space="0" w:color="auto"/>
        <w:right w:val="none" w:sz="0" w:space="0" w:color="auto"/>
      </w:divBdr>
    </w:div>
    <w:div w:id="1484929797">
      <w:bodyDiv w:val="1"/>
      <w:marLeft w:val="0"/>
      <w:marRight w:val="0"/>
      <w:marTop w:val="0"/>
      <w:marBottom w:val="0"/>
      <w:divBdr>
        <w:top w:val="none" w:sz="0" w:space="0" w:color="auto"/>
        <w:left w:val="none" w:sz="0" w:space="0" w:color="auto"/>
        <w:bottom w:val="none" w:sz="0" w:space="0" w:color="auto"/>
        <w:right w:val="none" w:sz="0" w:space="0" w:color="auto"/>
      </w:divBdr>
    </w:div>
    <w:div w:id="1510219933">
      <w:bodyDiv w:val="1"/>
      <w:marLeft w:val="0"/>
      <w:marRight w:val="0"/>
      <w:marTop w:val="0"/>
      <w:marBottom w:val="0"/>
      <w:divBdr>
        <w:top w:val="none" w:sz="0" w:space="0" w:color="auto"/>
        <w:left w:val="none" w:sz="0" w:space="0" w:color="auto"/>
        <w:bottom w:val="none" w:sz="0" w:space="0" w:color="auto"/>
        <w:right w:val="none" w:sz="0" w:space="0" w:color="auto"/>
      </w:divBdr>
    </w:div>
    <w:div w:id="1537159100">
      <w:bodyDiv w:val="1"/>
      <w:marLeft w:val="0"/>
      <w:marRight w:val="0"/>
      <w:marTop w:val="0"/>
      <w:marBottom w:val="0"/>
      <w:divBdr>
        <w:top w:val="none" w:sz="0" w:space="0" w:color="auto"/>
        <w:left w:val="none" w:sz="0" w:space="0" w:color="auto"/>
        <w:bottom w:val="none" w:sz="0" w:space="0" w:color="auto"/>
        <w:right w:val="none" w:sz="0" w:space="0" w:color="auto"/>
      </w:divBdr>
    </w:div>
    <w:div w:id="1565752745">
      <w:bodyDiv w:val="1"/>
      <w:marLeft w:val="0"/>
      <w:marRight w:val="0"/>
      <w:marTop w:val="0"/>
      <w:marBottom w:val="0"/>
      <w:divBdr>
        <w:top w:val="none" w:sz="0" w:space="0" w:color="auto"/>
        <w:left w:val="none" w:sz="0" w:space="0" w:color="auto"/>
        <w:bottom w:val="none" w:sz="0" w:space="0" w:color="auto"/>
        <w:right w:val="none" w:sz="0" w:space="0" w:color="auto"/>
      </w:divBdr>
    </w:div>
    <w:div w:id="1576435598">
      <w:bodyDiv w:val="1"/>
      <w:marLeft w:val="0"/>
      <w:marRight w:val="0"/>
      <w:marTop w:val="0"/>
      <w:marBottom w:val="0"/>
      <w:divBdr>
        <w:top w:val="none" w:sz="0" w:space="0" w:color="auto"/>
        <w:left w:val="none" w:sz="0" w:space="0" w:color="auto"/>
        <w:bottom w:val="none" w:sz="0" w:space="0" w:color="auto"/>
        <w:right w:val="none" w:sz="0" w:space="0" w:color="auto"/>
      </w:divBdr>
    </w:div>
    <w:div w:id="1638293271">
      <w:bodyDiv w:val="1"/>
      <w:marLeft w:val="0"/>
      <w:marRight w:val="0"/>
      <w:marTop w:val="0"/>
      <w:marBottom w:val="0"/>
      <w:divBdr>
        <w:top w:val="none" w:sz="0" w:space="0" w:color="auto"/>
        <w:left w:val="none" w:sz="0" w:space="0" w:color="auto"/>
        <w:bottom w:val="none" w:sz="0" w:space="0" w:color="auto"/>
        <w:right w:val="none" w:sz="0" w:space="0" w:color="auto"/>
      </w:divBdr>
    </w:div>
    <w:div w:id="1677073134">
      <w:bodyDiv w:val="1"/>
      <w:marLeft w:val="0"/>
      <w:marRight w:val="0"/>
      <w:marTop w:val="0"/>
      <w:marBottom w:val="0"/>
      <w:divBdr>
        <w:top w:val="none" w:sz="0" w:space="0" w:color="auto"/>
        <w:left w:val="none" w:sz="0" w:space="0" w:color="auto"/>
        <w:bottom w:val="none" w:sz="0" w:space="0" w:color="auto"/>
        <w:right w:val="none" w:sz="0" w:space="0" w:color="auto"/>
      </w:divBdr>
    </w:div>
    <w:div w:id="1677876858">
      <w:bodyDiv w:val="1"/>
      <w:marLeft w:val="0"/>
      <w:marRight w:val="0"/>
      <w:marTop w:val="0"/>
      <w:marBottom w:val="0"/>
      <w:divBdr>
        <w:top w:val="none" w:sz="0" w:space="0" w:color="auto"/>
        <w:left w:val="none" w:sz="0" w:space="0" w:color="auto"/>
        <w:bottom w:val="none" w:sz="0" w:space="0" w:color="auto"/>
        <w:right w:val="none" w:sz="0" w:space="0" w:color="auto"/>
      </w:divBdr>
    </w:div>
    <w:div w:id="1691569710">
      <w:bodyDiv w:val="1"/>
      <w:marLeft w:val="0"/>
      <w:marRight w:val="0"/>
      <w:marTop w:val="0"/>
      <w:marBottom w:val="0"/>
      <w:divBdr>
        <w:top w:val="none" w:sz="0" w:space="0" w:color="auto"/>
        <w:left w:val="none" w:sz="0" w:space="0" w:color="auto"/>
        <w:bottom w:val="none" w:sz="0" w:space="0" w:color="auto"/>
        <w:right w:val="none" w:sz="0" w:space="0" w:color="auto"/>
      </w:divBdr>
    </w:div>
    <w:div w:id="1702431983">
      <w:bodyDiv w:val="1"/>
      <w:marLeft w:val="0"/>
      <w:marRight w:val="0"/>
      <w:marTop w:val="0"/>
      <w:marBottom w:val="0"/>
      <w:divBdr>
        <w:top w:val="none" w:sz="0" w:space="0" w:color="auto"/>
        <w:left w:val="none" w:sz="0" w:space="0" w:color="auto"/>
        <w:bottom w:val="none" w:sz="0" w:space="0" w:color="auto"/>
        <w:right w:val="none" w:sz="0" w:space="0" w:color="auto"/>
      </w:divBdr>
    </w:div>
    <w:div w:id="1716345680">
      <w:bodyDiv w:val="1"/>
      <w:marLeft w:val="0"/>
      <w:marRight w:val="0"/>
      <w:marTop w:val="0"/>
      <w:marBottom w:val="0"/>
      <w:divBdr>
        <w:top w:val="none" w:sz="0" w:space="0" w:color="auto"/>
        <w:left w:val="none" w:sz="0" w:space="0" w:color="auto"/>
        <w:bottom w:val="none" w:sz="0" w:space="0" w:color="auto"/>
        <w:right w:val="none" w:sz="0" w:space="0" w:color="auto"/>
      </w:divBdr>
    </w:div>
    <w:div w:id="1734740480">
      <w:bodyDiv w:val="1"/>
      <w:marLeft w:val="0"/>
      <w:marRight w:val="0"/>
      <w:marTop w:val="0"/>
      <w:marBottom w:val="0"/>
      <w:divBdr>
        <w:top w:val="none" w:sz="0" w:space="0" w:color="auto"/>
        <w:left w:val="none" w:sz="0" w:space="0" w:color="auto"/>
        <w:bottom w:val="none" w:sz="0" w:space="0" w:color="auto"/>
        <w:right w:val="none" w:sz="0" w:space="0" w:color="auto"/>
      </w:divBdr>
    </w:div>
    <w:div w:id="1741058689">
      <w:bodyDiv w:val="1"/>
      <w:marLeft w:val="0"/>
      <w:marRight w:val="0"/>
      <w:marTop w:val="0"/>
      <w:marBottom w:val="0"/>
      <w:divBdr>
        <w:top w:val="none" w:sz="0" w:space="0" w:color="auto"/>
        <w:left w:val="none" w:sz="0" w:space="0" w:color="auto"/>
        <w:bottom w:val="none" w:sz="0" w:space="0" w:color="auto"/>
        <w:right w:val="none" w:sz="0" w:space="0" w:color="auto"/>
      </w:divBdr>
    </w:div>
    <w:div w:id="1743218073">
      <w:bodyDiv w:val="1"/>
      <w:marLeft w:val="0"/>
      <w:marRight w:val="0"/>
      <w:marTop w:val="0"/>
      <w:marBottom w:val="0"/>
      <w:divBdr>
        <w:top w:val="none" w:sz="0" w:space="0" w:color="auto"/>
        <w:left w:val="none" w:sz="0" w:space="0" w:color="auto"/>
        <w:bottom w:val="none" w:sz="0" w:space="0" w:color="auto"/>
        <w:right w:val="none" w:sz="0" w:space="0" w:color="auto"/>
      </w:divBdr>
    </w:div>
    <w:div w:id="1744067558">
      <w:bodyDiv w:val="1"/>
      <w:marLeft w:val="0"/>
      <w:marRight w:val="0"/>
      <w:marTop w:val="0"/>
      <w:marBottom w:val="0"/>
      <w:divBdr>
        <w:top w:val="none" w:sz="0" w:space="0" w:color="auto"/>
        <w:left w:val="none" w:sz="0" w:space="0" w:color="auto"/>
        <w:bottom w:val="none" w:sz="0" w:space="0" w:color="auto"/>
        <w:right w:val="none" w:sz="0" w:space="0" w:color="auto"/>
      </w:divBdr>
    </w:div>
    <w:div w:id="1749573774">
      <w:bodyDiv w:val="1"/>
      <w:marLeft w:val="0"/>
      <w:marRight w:val="0"/>
      <w:marTop w:val="0"/>
      <w:marBottom w:val="0"/>
      <w:divBdr>
        <w:top w:val="none" w:sz="0" w:space="0" w:color="auto"/>
        <w:left w:val="none" w:sz="0" w:space="0" w:color="auto"/>
        <w:bottom w:val="none" w:sz="0" w:space="0" w:color="auto"/>
        <w:right w:val="none" w:sz="0" w:space="0" w:color="auto"/>
      </w:divBdr>
    </w:div>
    <w:div w:id="1751199916">
      <w:bodyDiv w:val="1"/>
      <w:marLeft w:val="0"/>
      <w:marRight w:val="0"/>
      <w:marTop w:val="0"/>
      <w:marBottom w:val="0"/>
      <w:divBdr>
        <w:top w:val="none" w:sz="0" w:space="0" w:color="auto"/>
        <w:left w:val="none" w:sz="0" w:space="0" w:color="auto"/>
        <w:bottom w:val="none" w:sz="0" w:space="0" w:color="auto"/>
        <w:right w:val="none" w:sz="0" w:space="0" w:color="auto"/>
      </w:divBdr>
    </w:div>
    <w:div w:id="1876116585">
      <w:bodyDiv w:val="1"/>
      <w:marLeft w:val="0"/>
      <w:marRight w:val="0"/>
      <w:marTop w:val="0"/>
      <w:marBottom w:val="0"/>
      <w:divBdr>
        <w:top w:val="none" w:sz="0" w:space="0" w:color="auto"/>
        <w:left w:val="none" w:sz="0" w:space="0" w:color="auto"/>
        <w:bottom w:val="none" w:sz="0" w:space="0" w:color="auto"/>
        <w:right w:val="none" w:sz="0" w:space="0" w:color="auto"/>
      </w:divBdr>
    </w:div>
    <w:div w:id="1888569248">
      <w:bodyDiv w:val="1"/>
      <w:marLeft w:val="0"/>
      <w:marRight w:val="0"/>
      <w:marTop w:val="0"/>
      <w:marBottom w:val="0"/>
      <w:divBdr>
        <w:top w:val="none" w:sz="0" w:space="0" w:color="auto"/>
        <w:left w:val="none" w:sz="0" w:space="0" w:color="auto"/>
        <w:bottom w:val="none" w:sz="0" w:space="0" w:color="auto"/>
        <w:right w:val="none" w:sz="0" w:space="0" w:color="auto"/>
      </w:divBdr>
    </w:div>
    <w:div w:id="1902785751">
      <w:bodyDiv w:val="1"/>
      <w:marLeft w:val="0"/>
      <w:marRight w:val="0"/>
      <w:marTop w:val="0"/>
      <w:marBottom w:val="0"/>
      <w:divBdr>
        <w:top w:val="none" w:sz="0" w:space="0" w:color="auto"/>
        <w:left w:val="none" w:sz="0" w:space="0" w:color="auto"/>
        <w:bottom w:val="none" w:sz="0" w:space="0" w:color="auto"/>
        <w:right w:val="none" w:sz="0" w:space="0" w:color="auto"/>
      </w:divBdr>
    </w:div>
    <w:div w:id="1904901235">
      <w:bodyDiv w:val="1"/>
      <w:marLeft w:val="0"/>
      <w:marRight w:val="0"/>
      <w:marTop w:val="0"/>
      <w:marBottom w:val="0"/>
      <w:divBdr>
        <w:top w:val="none" w:sz="0" w:space="0" w:color="auto"/>
        <w:left w:val="none" w:sz="0" w:space="0" w:color="auto"/>
        <w:bottom w:val="none" w:sz="0" w:space="0" w:color="auto"/>
        <w:right w:val="none" w:sz="0" w:space="0" w:color="auto"/>
      </w:divBdr>
    </w:div>
    <w:div w:id="1978533305">
      <w:bodyDiv w:val="1"/>
      <w:marLeft w:val="0"/>
      <w:marRight w:val="0"/>
      <w:marTop w:val="0"/>
      <w:marBottom w:val="0"/>
      <w:divBdr>
        <w:top w:val="none" w:sz="0" w:space="0" w:color="auto"/>
        <w:left w:val="none" w:sz="0" w:space="0" w:color="auto"/>
        <w:bottom w:val="none" w:sz="0" w:space="0" w:color="auto"/>
        <w:right w:val="none" w:sz="0" w:space="0" w:color="auto"/>
      </w:divBdr>
    </w:div>
    <w:div w:id="1988633135">
      <w:bodyDiv w:val="1"/>
      <w:marLeft w:val="0"/>
      <w:marRight w:val="0"/>
      <w:marTop w:val="0"/>
      <w:marBottom w:val="0"/>
      <w:divBdr>
        <w:top w:val="none" w:sz="0" w:space="0" w:color="auto"/>
        <w:left w:val="none" w:sz="0" w:space="0" w:color="auto"/>
        <w:bottom w:val="none" w:sz="0" w:space="0" w:color="auto"/>
        <w:right w:val="none" w:sz="0" w:space="0" w:color="auto"/>
      </w:divBdr>
    </w:div>
    <w:div w:id="1992368838">
      <w:bodyDiv w:val="1"/>
      <w:marLeft w:val="0"/>
      <w:marRight w:val="0"/>
      <w:marTop w:val="0"/>
      <w:marBottom w:val="0"/>
      <w:divBdr>
        <w:top w:val="none" w:sz="0" w:space="0" w:color="auto"/>
        <w:left w:val="none" w:sz="0" w:space="0" w:color="auto"/>
        <w:bottom w:val="none" w:sz="0" w:space="0" w:color="auto"/>
        <w:right w:val="none" w:sz="0" w:space="0" w:color="auto"/>
      </w:divBdr>
    </w:div>
    <w:div w:id="2058695536">
      <w:bodyDiv w:val="1"/>
      <w:marLeft w:val="0"/>
      <w:marRight w:val="0"/>
      <w:marTop w:val="0"/>
      <w:marBottom w:val="0"/>
      <w:divBdr>
        <w:top w:val="none" w:sz="0" w:space="0" w:color="auto"/>
        <w:left w:val="none" w:sz="0" w:space="0" w:color="auto"/>
        <w:bottom w:val="none" w:sz="0" w:space="0" w:color="auto"/>
        <w:right w:val="none" w:sz="0" w:space="0" w:color="auto"/>
      </w:divBdr>
    </w:div>
    <w:div w:id="2078698863">
      <w:bodyDiv w:val="1"/>
      <w:marLeft w:val="0"/>
      <w:marRight w:val="0"/>
      <w:marTop w:val="0"/>
      <w:marBottom w:val="0"/>
      <w:divBdr>
        <w:top w:val="none" w:sz="0" w:space="0" w:color="auto"/>
        <w:left w:val="none" w:sz="0" w:space="0" w:color="auto"/>
        <w:bottom w:val="none" w:sz="0" w:space="0" w:color="auto"/>
        <w:right w:val="none" w:sz="0" w:space="0" w:color="auto"/>
      </w:divBdr>
      <w:divsChild>
        <w:div w:id="390537459">
          <w:marLeft w:val="0"/>
          <w:marRight w:val="0"/>
          <w:marTop w:val="0"/>
          <w:marBottom w:val="0"/>
          <w:divBdr>
            <w:top w:val="none" w:sz="0" w:space="0" w:color="auto"/>
            <w:left w:val="none" w:sz="0" w:space="0" w:color="auto"/>
            <w:bottom w:val="none" w:sz="0" w:space="0" w:color="auto"/>
            <w:right w:val="none" w:sz="0" w:space="0" w:color="auto"/>
          </w:divBdr>
        </w:div>
        <w:div w:id="534777105">
          <w:marLeft w:val="0"/>
          <w:marRight w:val="0"/>
          <w:marTop w:val="0"/>
          <w:marBottom w:val="0"/>
          <w:divBdr>
            <w:top w:val="none" w:sz="0" w:space="0" w:color="auto"/>
            <w:left w:val="none" w:sz="0" w:space="0" w:color="auto"/>
            <w:bottom w:val="none" w:sz="0" w:space="0" w:color="auto"/>
            <w:right w:val="none" w:sz="0" w:space="0" w:color="auto"/>
          </w:divBdr>
        </w:div>
        <w:div w:id="1546020518">
          <w:marLeft w:val="0"/>
          <w:marRight w:val="0"/>
          <w:marTop w:val="0"/>
          <w:marBottom w:val="0"/>
          <w:divBdr>
            <w:top w:val="none" w:sz="0" w:space="0" w:color="auto"/>
            <w:left w:val="none" w:sz="0" w:space="0" w:color="auto"/>
            <w:bottom w:val="none" w:sz="0" w:space="0" w:color="auto"/>
            <w:right w:val="none" w:sz="0" w:space="0" w:color="auto"/>
          </w:divBdr>
        </w:div>
        <w:div w:id="392899210">
          <w:marLeft w:val="0"/>
          <w:marRight w:val="0"/>
          <w:marTop w:val="0"/>
          <w:marBottom w:val="0"/>
          <w:divBdr>
            <w:top w:val="none" w:sz="0" w:space="0" w:color="auto"/>
            <w:left w:val="none" w:sz="0" w:space="0" w:color="auto"/>
            <w:bottom w:val="none" w:sz="0" w:space="0" w:color="auto"/>
            <w:right w:val="none" w:sz="0" w:space="0" w:color="auto"/>
          </w:divBdr>
        </w:div>
        <w:div w:id="2088840854">
          <w:marLeft w:val="0"/>
          <w:marRight w:val="0"/>
          <w:marTop w:val="0"/>
          <w:marBottom w:val="0"/>
          <w:divBdr>
            <w:top w:val="none" w:sz="0" w:space="0" w:color="auto"/>
            <w:left w:val="none" w:sz="0" w:space="0" w:color="auto"/>
            <w:bottom w:val="none" w:sz="0" w:space="0" w:color="auto"/>
            <w:right w:val="none" w:sz="0" w:space="0" w:color="auto"/>
          </w:divBdr>
          <w:divsChild>
            <w:div w:id="1946573336">
              <w:marLeft w:val="-75"/>
              <w:marRight w:val="0"/>
              <w:marTop w:val="30"/>
              <w:marBottom w:val="30"/>
              <w:divBdr>
                <w:top w:val="none" w:sz="0" w:space="0" w:color="auto"/>
                <w:left w:val="none" w:sz="0" w:space="0" w:color="auto"/>
                <w:bottom w:val="none" w:sz="0" w:space="0" w:color="auto"/>
                <w:right w:val="none" w:sz="0" w:space="0" w:color="auto"/>
              </w:divBdr>
              <w:divsChild>
                <w:div w:id="623653836">
                  <w:marLeft w:val="0"/>
                  <w:marRight w:val="0"/>
                  <w:marTop w:val="0"/>
                  <w:marBottom w:val="0"/>
                  <w:divBdr>
                    <w:top w:val="none" w:sz="0" w:space="0" w:color="auto"/>
                    <w:left w:val="none" w:sz="0" w:space="0" w:color="auto"/>
                    <w:bottom w:val="none" w:sz="0" w:space="0" w:color="auto"/>
                    <w:right w:val="none" w:sz="0" w:space="0" w:color="auto"/>
                  </w:divBdr>
                  <w:divsChild>
                    <w:div w:id="2137095718">
                      <w:marLeft w:val="0"/>
                      <w:marRight w:val="0"/>
                      <w:marTop w:val="0"/>
                      <w:marBottom w:val="0"/>
                      <w:divBdr>
                        <w:top w:val="none" w:sz="0" w:space="0" w:color="auto"/>
                        <w:left w:val="none" w:sz="0" w:space="0" w:color="auto"/>
                        <w:bottom w:val="none" w:sz="0" w:space="0" w:color="auto"/>
                        <w:right w:val="none" w:sz="0" w:space="0" w:color="auto"/>
                      </w:divBdr>
                    </w:div>
                  </w:divsChild>
                </w:div>
                <w:div w:id="68697851">
                  <w:marLeft w:val="0"/>
                  <w:marRight w:val="0"/>
                  <w:marTop w:val="0"/>
                  <w:marBottom w:val="0"/>
                  <w:divBdr>
                    <w:top w:val="none" w:sz="0" w:space="0" w:color="auto"/>
                    <w:left w:val="none" w:sz="0" w:space="0" w:color="auto"/>
                    <w:bottom w:val="none" w:sz="0" w:space="0" w:color="auto"/>
                    <w:right w:val="none" w:sz="0" w:space="0" w:color="auto"/>
                  </w:divBdr>
                  <w:divsChild>
                    <w:div w:id="689725690">
                      <w:marLeft w:val="0"/>
                      <w:marRight w:val="0"/>
                      <w:marTop w:val="0"/>
                      <w:marBottom w:val="0"/>
                      <w:divBdr>
                        <w:top w:val="none" w:sz="0" w:space="0" w:color="auto"/>
                        <w:left w:val="none" w:sz="0" w:space="0" w:color="auto"/>
                        <w:bottom w:val="none" w:sz="0" w:space="0" w:color="auto"/>
                        <w:right w:val="none" w:sz="0" w:space="0" w:color="auto"/>
                      </w:divBdr>
                    </w:div>
                  </w:divsChild>
                </w:div>
                <w:div w:id="1197817115">
                  <w:marLeft w:val="0"/>
                  <w:marRight w:val="0"/>
                  <w:marTop w:val="0"/>
                  <w:marBottom w:val="0"/>
                  <w:divBdr>
                    <w:top w:val="none" w:sz="0" w:space="0" w:color="auto"/>
                    <w:left w:val="none" w:sz="0" w:space="0" w:color="auto"/>
                    <w:bottom w:val="none" w:sz="0" w:space="0" w:color="auto"/>
                    <w:right w:val="none" w:sz="0" w:space="0" w:color="auto"/>
                  </w:divBdr>
                  <w:divsChild>
                    <w:div w:id="835195627">
                      <w:marLeft w:val="0"/>
                      <w:marRight w:val="0"/>
                      <w:marTop w:val="0"/>
                      <w:marBottom w:val="0"/>
                      <w:divBdr>
                        <w:top w:val="none" w:sz="0" w:space="0" w:color="auto"/>
                        <w:left w:val="none" w:sz="0" w:space="0" w:color="auto"/>
                        <w:bottom w:val="none" w:sz="0" w:space="0" w:color="auto"/>
                        <w:right w:val="none" w:sz="0" w:space="0" w:color="auto"/>
                      </w:divBdr>
                    </w:div>
                  </w:divsChild>
                </w:div>
                <w:div w:id="719592288">
                  <w:marLeft w:val="0"/>
                  <w:marRight w:val="0"/>
                  <w:marTop w:val="0"/>
                  <w:marBottom w:val="0"/>
                  <w:divBdr>
                    <w:top w:val="none" w:sz="0" w:space="0" w:color="auto"/>
                    <w:left w:val="none" w:sz="0" w:space="0" w:color="auto"/>
                    <w:bottom w:val="none" w:sz="0" w:space="0" w:color="auto"/>
                    <w:right w:val="none" w:sz="0" w:space="0" w:color="auto"/>
                  </w:divBdr>
                  <w:divsChild>
                    <w:div w:id="1124077013">
                      <w:marLeft w:val="0"/>
                      <w:marRight w:val="0"/>
                      <w:marTop w:val="0"/>
                      <w:marBottom w:val="0"/>
                      <w:divBdr>
                        <w:top w:val="none" w:sz="0" w:space="0" w:color="auto"/>
                        <w:left w:val="none" w:sz="0" w:space="0" w:color="auto"/>
                        <w:bottom w:val="none" w:sz="0" w:space="0" w:color="auto"/>
                        <w:right w:val="none" w:sz="0" w:space="0" w:color="auto"/>
                      </w:divBdr>
                    </w:div>
                  </w:divsChild>
                </w:div>
                <w:div w:id="1004745142">
                  <w:marLeft w:val="0"/>
                  <w:marRight w:val="0"/>
                  <w:marTop w:val="0"/>
                  <w:marBottom w:val="0"/>
                  <w:divBdr>
                    <w:top w:val="none" w:sz="0" w:space="0" w:color="auto"/>
                    <w:left w:val="none" w:sz="0" w:space="0" w:color="auto"/>
                    <w:bottom w:val="none" w:sz="0" w:space="0" w:color="auto"/>
                    <w:right w:val="none" w:sz="0" w:space="0" w:color="auto"/>
                  </w:divBdr>
                  <w:divsChild>
                    <w:div w:id="1222405856">
                      <w:marLeft w:val="0"/>
                      <w:marRight w:val="0"/>
                      <w:marTop w:val="0"/>
                      <w:marBottom w:val="0"/>
                      <w:divBdr>
                        <w:top w:val="none" w:sz="0" w:space="0" w:color="auto"/>
                        <w:left w:val="none" w:sz="0" w:space="0" w:color="auto"/>
                        <w:bottom w:val="none" w:sz="0" w:space="0" w:color="auto"/>
                        <w:right w:val="none" w:sz="0" w:space="0" w:color="auto"/>
                      </w:divBdr>
                    </w:div>
                  </w:divsChild>
                </w:div>
                <w:div w:id="1268006505">
                  <w:marLeft w:val="0"/>
                  <w:marRight w:val="0"/>
                  <w:marTop w:val="0"/>
                  <w:marBottom w:val="0"/>
                  <w:divBdr>
                    <w:top w:val="none" w:sz="0" w:space="0" w:color="auto"/>
                    <w:left w:val="none" w:sz="0" w:space="0" w:color="auto"/>
                    <w:bottom w:val="none" w:sz="0" w:space="0" w:color="auto"/>
                    <w:right w:val="none" w:sz="0" w:space="0" w:color="auto"/>
                  </w:divBdr>
                  <w:divsChild>
                    <w:div w:id="1010645919">
                      <w:marLeft w:val="0"/>
                      <w:marRight w:val="0"/>
                      <w:marTop w:val="0"/>
                      <w:marBottom w:val="0"/>
                      <w:divBdr>
                        <w:top w:val="none" w:sz="0" w:space="0" w:color="auto"/>
                        <w:left w:val="none" w:sz="0" w:space="0" w:color="auto"/>
                        <w:bottom w:val="none" w:sz="0" w:space="0" w:color="auto"/>
                        <w:right w:val="none" w:sz="0" w:space="0" w:color="auto"/>
                      </w:divBdr>
                    </w:div>
                  </w:divsChild>
                </w:div>
                <w:div w:id="1402754308">
                  <w:marLeft w:val="0"/>
                  <w:marRight w:val="0"/>
                  <w:marTop w:val="0"/>
                  <w:marBottom w:val="0"/>
                  <w:divBdr>
                    <w:top w:val="none" w:sz="0" w:space="0" w:color="auto"/>
                    <w:left w:val="none" w:sz="0" w:space="0" w:color="auto"/>
                    <w:bottom w:val="none" w:sz="0" w:space="0" w:color="auto"/>
                    <w:right w:val="none" w:sz="0" w:space="0" w:color="auto"/>
                  </w:divBdr>
                  <w:divsChild>
                    <w:div w:id="1549220970">
                      <w:marLeft w:val="0"/>
                      <w:marRight w:val="0"/>
                      <w:marTop w:val="0"/>
                      <w:marBottom w:val="0"/>
                      <w:divBdr>
                        <w:top w:val="none" w:sz="0" w:space="0" w:color="auto"/>
                        <w:left w:val="none" w:sz="0" w:space="0" w:color="auto"/>
                        <w:bottom w:val="none" w:sz="0" w:space="0" w:color="auto"/>
                        <w:right w:val="none" w:sz="0" w:space="0" w:color="auto"/>
                      </w:divBdr>
                    </w:div>
                  </w:divsChild>
                </w:div>
                <w:div w:id="734931547">
                  <w:marLeft w:val="0"/>
                  <w:marRight w:val="0"/>
                  <w:marTop w:val="0"/>
                  <w:marBottom w:val="0"/>
                  <w:divBdr>
                    <w:top w:val="none" w:sz="0" w:space="0" w:color="auto"/>
                    <w:left w:val="none" w:sz="0" w:space="0" w:color="auto"/>
                    <w:bottom w:val="none" w:sz="0" w:space="0" w:color="auto"/>
                    <w:right w:val="none" w:sz="0" w:space="0" w:color="auto"/>
                  </w:divBdr>
                  <w:divsChild>
                    <w:div w:id="192960222">
                      <w:marLeft w:val="0"/>
                      <w:marRight w:val="0"/>
                      <w:marTop w:val="0"/>
                      <w:marBottom w:val="0"/>
                      <w:divBdr>
                        <w:top w:val="none" w:sz="0" w:space="0" w:color="auto"/>
                        <w:left w:val="none" w:sz="0" w:space="0" w:color="auto"/>
                        <w:bottom w:val="none" w:sz="0" w:space="0" w:color="auto"/>
                        <w:right w:val="none" w:sz="0" w:space="0" w:color="auto"/>
                      </w:divBdr>
                    </w:div>
                  </w:divsChild>
                </w:div>
                <w:div w:id="1392575314">
                  <w:marLeft w:val="0"/>
                  <w:marRight w:val="0"/>
                  <w:marTop w:val="0"/>
                  <w:marBottom w:val="0"/>
                  <w:divBdr>
                    <w:top w:val="none" w:sz="0" w:space="0" w:color="auto"/>
                    <w:left w:val="none" w:sz="0" w:space="0" w:color="auto"/>
                    <w:bottom w:val="none" w:sz="0" w:space="0" w:color="auto"/>
                    <w:right w:val="none" w:sz="0" w:space="0" w:color="auto"/>
                  </w:divBdr>
                  <w:divsChild>
                    <w:div w:id="87315211">
                      <w:marLeft w:val="0"/>
                      <w:marRight w:val="0"/>
                      <w:marTop w:val="0"/>
                      <w:marBottom w:val="0"/>
                      <w:divBdr>
                        <w:top w:val="none" w:sz="0" w:space="0" w:color="auto"/>
                        <w:left w:val="none" w:sz="0" w:space="0" w:color="auto"/>
                        <w:bottom w:val="none" w:sz="0" w:space="0" w:color="auto"/>
                        <w:right w:val="none" w:sz="0" w:space="0" w:color="auto"/>
                      </w:divBdr>
                    </w:div>
                    <w:div w:id="1922980802">
                      <w:marLeft w:val="0"/>
                      <w:marRight w:val="0"/>
                      <w:marTop w:val="0"/>
                      <w:marBottom w:val="0"/>
                      <w:divBdr>
                        <w:top w:val="none" w:sz="0" w:space="0" w:color="auto"/>
                        <w:left w:val="none" w:sz="0" w:space="0" w:color="auto"/>
                        <w:bottom w:val="none" w:sz="0" w:space="0" w:color="auto"/>
                        <w:right w:val="none" w:sz="0" w:space="0" w:color="auto"/>
                      </w:divBdr>
                    </w:div>
                  </w:divsChild>
                </w:div>
                <w:div w:id="774449572">
                  <w:marLeft w:val="0"/>
                  <w:marRight w:val="0"/>
                  <w:marTop w:val="0"/>
                  <w:marBottom w:val="0"/>
                  <w:divBdr>
                    <w:top w:val="none" w:sz="0" w:space="0" w:color="auto"/>
                    <w:left w:val="none" w:sz="0" w:space="0" w:color="auto"/>
                    <w:bottom w:val="none" w:sz="0" w:space="0" w:color="auto"/>
                    <w:right w:val="none" w:sz="0" w:space="0" w:color="auto"/>
                  </w:divBdr>
                  <w:divsChild>
                    <w:div w:id="2093891816">
                      <w:marLeft w:val="0"/>
                      <w:marRight w:val="0"/>
                      <w:marTop w:val="0"/>
                      <w:marBottom w:val="0"/>
                      <w:divBdr>
                        <w:top w:val="none" w:sz="0" w:space="0" w:color="auto"/>
                        <w:left w:val="none" w:sz="0" w:space="0" w:color="auto"/>
                        <w:bottom w:val="none" w:sz="0" w:space="0" w:color="auto"/>
                        <w:right w:val="none" w:sz="0" w:space="0" w:color="auto"/>
                      </w:divBdr>
                    </w:div>
                  </w:divsChild>
                </w:div>
                <w:div w:id="1282152029">
                  <w:marLeft w:val="0"/>
                  <w:marRight w:val="0"/>
                  <w:marTop w:val="0"/>
                  <w:marBottom w:val="0"/>
                  <w:divBdr>
                    <w:top w:val="none" w:sz="0" w:space="0" w:color="auto"/>
                    <w:left w:val="none" w:sz="0" w:space="0" w:color="auto"/>
                    <w:bottom w:val="none" w:sz="0" w:space="0" w:color="auto"/>
                    <w:right w:val="none" w:sz="0" w:space="0" w:color="auto"/>
                  </w:divBdr>
                  <w:divsChild>
                    <w:div w:id="2096318571">
                      <w:marLeft w:val="0"/>
                      <w:marRight w:val="0"/>
                      <w:marTop w:val="0"/>
                      <w:marBottom w:val="0"/>
                      <w:divBdr>
                        <w:top w:val="none" w:sz="0" w:space="0" w:color="auto"/>
                        <w:left w:val="none" w:sz="0" w:space="0" w:color="auto"/>
                        <w:bottom w:val="none" w:sz="0" w:space="0" w:color="auto"/>
                        <w:right w:val="none" w:sz="0" w:space="0" w:color="auto"/>
                      </w:divBdr>
                    </w:div>
                  </w:divsChild>
                </w:div>
                <w:div w:id="1984889029">
                  <w:marLeft w:val="0"/>
                  <w:marRight w:val="0"/>
                  <w:marTop w:val="0"/>
                  <w:marBottom w:val="0"/>
                  <w:divBdr>
                    <w:top w:val="none" w:sz="0" w:space="0" w:color="auto"/>
                    <w:left w:val="none" w:sz="0" w:space="0" w:color="auto"/>
                    <w:bottom w:val="none" w:sz="0" w:space="0" w:color="auto"/>
                    <w:right w:val="none" w:sz="0" w:space="0" w:color="auto"/>
                  </w:divBdr>
                  <w:divsChild>
                    <w:div w:id="162665069">
                      <w:marLeft w:val="0"/>
                      <w:marRight w:val="0"/>
                      <w:marTop w:val="0"/>
                      <w:marBottom w:val="0"/>
                      <w:divBdr>
                        <w:top w:val="none" w:sz="0" w:space="0" w:color="auto"/>
                        <w:left w:val="none" w:sz="0" w:space="0" w:color="auto"/>
                        <w:bottom w:val="none" w:sz="0" w:space="0" w:color="auto"/>
                        <w:right w:val="none" w:sz="0" w:space="0" w:color="auto"/>
                      </w:divBdr>
                    </w:div>
                  </w:divsChild>
                </w:div>
                <w:div w:id="91363857">
                  <w:marLeft w:val="0"/>
                  <w:marRight w:val="0"/>
                  <w:marTop w:val="0"/>
                  <w:marBottom w:val="0"/>
                  <w:divBdr>
                    <w:top w:val="none" w:sz="0" w:space="0" w:color="auto"/>
                    <w:left w:val="none" w:sz="0" w:space="0" w:color="auto"/>
                    <w:bottom w:val="none" w:sz="0" w:space="0" w:color="auto"/>
                    <w:right w:val="none" w:sz="0" w:space="0" w:color="auto"/>
                  </w:divBdr>
                  <w:divsChild>
                    <w:div w:id="394744691">
                      <w:marLeft w:val="0"/>
                      <w:marRight w:val="0"/>
                      <w:marTop w:val="0"/>
                      <w:marBottom w:val="0"/>
                      <w:divBdr>
                        <w:top w:val="none" w:sz="0" w:space="0" w:color="auto"/>
                        <w:left w:val="none" w:sz="0" w:space="0" w:color="auto"/>
                        <w:bottom w:val="none" w:sz="0" w:space="0" w:color="auto"/>
                        <w:right w:val="none" w:sz="0" w:space="0" w:color="auto"/>
                      </w:divBdr>
                    </w:div>
                  </w:divsChild>
                </w:div>
                <w:div w:id="870801476">
                  <w:marLeft w:val="0"/>
                  <w:marRight w:val="0"/>
                  <w:marTop w:val="0"/>
                  <w:marBottom w:val="0"/>
                  <w:divBdr>
                    <w:top w:val="none" w:sz="0" w:space="0" w:color="auto"/>
                    <w:left w:val="none" w:sz="0" w:space="0" w:color="auto"/>
                    <w:bottom w:val="none" w:sz="0" w:space="0" w:color="auto"/>
                    <w:right w:val="none" w:sz="0" w:space="0" w:color="auto"/>
                  </w:divBdr>
                  <w:divsChild>
                    <w:div w:id="384719963">
                      <w:marLeft w:val="0"/>
                      <w:marRight w:val="0"/>
                      <w:marTop w:val="0"/>
                      <w:marBottom w:val="0"/>
                      <w:divBdr>
                        <w:top w:val="none" w:sz="0" w:space="0" w:color="auto"/>
                        <w:left w:val="none" w:sz="0" w:space="0" w:color="auto"/>
                        <w:bottom w:val="none" w:sz="0" w:space="0" w:color="auto"/>
                        <w:right w:val="none" w:sz="0" w:space="0" w:color="auto"/>
                      </w:divBdr>
                    </w:div>
                  </w:divsChild>
                </w:div>
                <w:div w:id="1235550928">
                  <w:marLeft w:val="0"/>
                  <w:marRight w:val="0"/>
                  <w:marTop w:val="0"/>
                  <w:marBottom w:val="0"/>
                  <w:divBdr>
                    <w:top w:val="none" w:sz="0" w:space="0" w:color="auto"/>
                    <w:left w:val="none" w:sz="0" w:space="0" w:color="auto"/>
                    <w:bottom w:val="none" w:sz="0" w:space="0" w:color="auto"/>
                    <w:right w:val="none" w:sz="0" w:space="0" w:color="auto"/>
                  </w:divBdr>
                  <w:divsChild>
                    <w:div w:id="487870942">
                      <w:marLeft w:val="0"/>
                      <w:marRight w:val="0"/>
                      <w:marTop w:val="0"/>
                      <w:marBottom w:val="0"/>
                      <w:divBdr>
                        <w:top w:val="none" w:sz="0" w:space="0" w:color="auto"/>
                        <w:left w:val="none" w:sz="0" w:space="0" w:color="auto"/>
                        <w:bottom w:val="none" w:sz="0" w:space="0" w:color="auto"/>
                        <w:right w:val="none" w:sz="0" w:space="0" w:color="auto"/>
                      </w:divBdr>
                    </w:div>
                  </w:divsChild>
                </w:div>
                <w:div w:id="1017737076">
                  <w:marLeft w:val="0"/>
                  <w:marRight w:val="0"/>
                  <w:marTop w:val="0"/>
                  <w:marBottom w:val="0"/>
                  <w:divBdr>
                    <w:top w:val="none" w:sz="0" w:space="0" w:color="auto"/>
                    <w:left w:val="none" w:sz="0" w:space="0" w:color="auto"/>
                    <w:bottom w:val="none" w:sz="0" w:space="0" w:color="auto"/>
                    <w:right w:val="none" w:sz="0" w:space="0" w:color="auto"/>
                  </w:divBdr>
                  <w:divsChild>
                    <w:div w:id="1597668782">
                      <w:marLeft w:val="0"/>
                      <w:marRight w:val="0"/>
                      <w:marTop w:val="0"/>
                      <w:marBottom w:val="0"/>
                      <w:divBdr>
                        <w:top w:val="none" w:sz="0" w:space="0" w:color="auto"/>
                        <w:left w:val="none" w:sz="0" w:space="0" w:color="auto"/>
                        <w:bottom w:val="none" w:sz="0" w:space="0" w:color="auto"/>
                        <w:right w:val="none" w:sz="0" w:space="0" w:color="auto"/>
                      </w:divBdr>
                    </w:div>
                  </w:divsChild>
                </w:div>
                <w:div w:id="1900897868">
                  <w:marLeft w:val="0"/>
                  <w:marRight w:val="0"/>
                  <w:marTop w:val="0"/>
                  <w:marBottom w:val="0"/>
                  <w:divBdr>
                    <w:top w:val="none" w:sz="0" w:space="0" w:color="auto"/>
                    <w:left w:val="none" w:sz="0" w:space="0" w:color="auto"/>
                    <w:bottom w:val="none" w:sz="0" w:space="0" w:color="auto"/>
                    <w:right w:val="none" w:sz="0" w:space="0" w:color="auto"/>
                  </w:divBdr>
                  <w:divsChild>
                    <w:div w:id="1537817203">
                      <w:marLeft w:val="0"/>
                      <w:marRight w:val="0"/>
                      <w:marTop w:val="0"/>
                      <w:marBottom w:val="0"/>
                      <w:divBdr>
                        <w:top w:val="none" w:sz="0" w:space="0" w:color="auto"/>
                        <w:left w:val="none" w:sz="0" w:space="0" w:color="auto"/>
                        <w:bottom w:val="none" w:sz="0" w:space="0" w:color="auto"/>
                        <w:right w:val="none" w:sz="0" w:space="0" w:color="auto"/>
                      </w:divBdr>
                    </w:div>
                  </w:divsChild>
                </w:div>
                <w:div w:id="1806578687">
                  <w:marLeft w:val="0"/>
                  <w:marRight w:val="0"/>
                  <w:marTop w:val="0"/>
                  <w:marBottom w:val="0"/>
                  <w:divBdr>
                    <w:top w:val="none" w:sz="0" w:space="0" w:color="auto"/>
                    <w:left w:val="none" w:sz="0" w:space="0" w:color="auto"/>
                    <w:bottom w:val="none" w:sz="0" w:space="0" w:color="auto"/>
                    <w:right w:val="none" w:sz="0" w:space="0" w:color="auto"/>
                  </w:divBdr>
                  <w:divsChild>
                    <w:div w:id="342515234">
                      <w:marLeft w:val="0"/>
                      <w:marRight w:val="0"/>
                      <w:marTop w:val="0"/>
                      <w:marBottom w:val="0"/>
                      <w:divBdr>
                        <w:top w:val="none" w:sz="0" w:space="0" w:color="auto"/>
                        <w:left w:val="none" w:sz="0" w:space="0" w:color="auto"/>
                        <w:bottom w:val="none" w:sz="0" w:space="0" w:color="auto"/>
                        <w:right w:val="none" w:sz="0" w:space="0" w:color="auto"/>
                      </w:divBdr>
                    </w:div>
                  </w:divsChild>
                </w:div>
                <w:div w:id="622231539">
                  <w:marLeft w:val="0"/>
                  <w:marRight w:val="0"/>
                  <w:marTop w:val="0"/>
                  <w:marBottom w:val="0"/>
                  <w:divBdr>
                    <w:top w:val="none" w:sz="0" w:space="0" w:color="auto"/>
                    <w:left w:val="none" w:sz="0" w:space="0" w:color="auto"/>
                    <w:bottom w:val="none" w:sz="0" w:space="0" w:color="auto"/>
                    <w:right w:val="none" w:sz="0" w:space="0" w:color="auto"/>
                  </w:divBdr>
                  <w:divsChild>
                    <w:div w:id="1448043655">
                      <w:marLeft w:val="0"/>
                      <w:marRight w:val="0"/>
                      <w:marTop w:val="0"/>
                      <w:marBottom w:val="0"/>
                      <w:divBdr>
                        <w:top w:val="none" w:sz="0" w:space="0" w:color="auto"/>
                        <w:left w:val="none" w:sz="0" w:space="0" w:color="auto"/>
                        <w:bottom w:val="none" w:sz="0" w:space="0" w:color="auto"/>
                        <w:right w:val="none" w:sz="0" w:space="0" w:color="auto"/>
                      </w:divBdr>
                    </w:div>
                  </w:divsChild>
                </w:div>
                <w:div w:id="684595617">
                  <w:marLeft w:val="0"/>
                  <w:marRight w:val="0"/>
                  <w:marTop w:val="0"/>
                  <w:marBottom w:val="0"/>
                  <w:divBdr>
                    <w:top w:val="none" w:sz="0" w:space="0" w:color="auto"/>
                    <w:left w:val="none" w:sz="0" w:space="0" w:color="auto"/>
                    <w:bottom w:val="none" w:sz="0" w:space="0" w:color="auto"/>
                    <w:right w:val="none" w:sz="0" w:space="0" w:color="auto"/>
                  </w:divBdr>
                  <w:divsChild>
                    <w:div w:id="1187139414">
                      <w:marLeft w:val="0"/>
                      <w:marRight w:val="0"/>
                      <w:marTop w:val="0"/>
                      <w:marBottom w:val="0"/>
                      <w:divBdr>
                        <w:top w:val="none" w:sz="0" w:space="0" w:color="auto"/>
                        <w:left w:val="none" w:sz="0" w:space="0" w:color="auto"/>
                        <w:bottom w:val="none" w:sz="0" w:space="0" w:color="auto"/>
                        <w:right w:val="none" w:sz="0" w:space="0" w:color="auto"/>
                      </w:divBdr>
                    </w:div>
                  </w:divsChild>
                </w:div>
                <w:div w:id="1548301989">
                  <w:marLeft w:val="0"/>
                  <w:marRight w:val="0"/>
                  <w:marTop w:val="0"/>
                  <w:marBottom w:val="0"/>
                  <w:divBdr>
                    <w:top w:val="none" w:sz="0" w:space="0" w:color="auto"/>
                    <w:left w:val="none" w:sz="0" w:space="0" w:color="auto"/>
                    <w:bottom w:val="none" w:sz="0" w:space="0" w:color="auto"/>
                    <w:right w:val="none" w:sz="0" w:space="0" w:color="auto"/>
                  </w:divBdr>
                  <w:divsChild>
                    <w:div w:id="873419621">
                      <w:marLeft w:val="0"/>
                      <w:marRight w:val="0"/>
                      <w:marTop w:val="0"/>
                      <w:marBottom w:val="0"/>
                      <w:divBdr>
                        <w:top w:val="none" w:sz="0" w:space="0" w:color="auto"/>
                        <w:left w:val="none" w:sz="0" w:space="0" w:color="auto"/>
                        <w:bottom w:val="none" w:sz="0" w:space="0" w:color="auto"/>
                        <w:right w:val="none" w:sz="0" w:space="0" w:color="auto"/>
                      </w:divBdr>
                    </w:div>
                  </w:divsChild>
                </w:div>
                <w:div w:id="134416851">
                  <w:marLeft w:val="0"/>
                  <w:marRight w:val="0"/>
                  <w:marTop w:val="0"/>
                  <w:marBottom w:val="0"/>
                  <w:divBdr>
                    <w:top w:val="none" w:sz="0" w:space="0" w:color="auto"/>
                    <w:left w:val="none" w:sz="0" w:space="0" w:color="auto"/>
                    <w:bottom w:val="none" w:sz="0" w:space="0" w:color="auto"/>
                    <w:right w:val="none" w:sz="0" w:space="0" w:color="auto"/>
                  </w:divBdr>
                  <w:divsChild>
                    <w:div w:id="2045014224">
                      <w:marLeft w:val="0"/>
                      <w:marRight w:val="0"/>
                      <w:marTop w:val="0"/>
                      <w:marBottom w:val="0"/>
                      <w:divBdr>
                        <w:top w:val="none" w:sz="0" w:space="0" w:color="auto"/>
                        <w:left w:val="none" w:sz="0" w:space="0" w:color="auto"/>
                        <w:bottom w:val="none" w:sz="0" w:space="0" w:color="auto"/>
                        <w:right w:val="none" w:sz="0" w:space="0" w:color="auto"/>
                      </w:divBdr>
                    </w:div>
                  </w:divsChild>
                </w:div>
                <w:div w:id="185796464">
                  <w:marLeft w:val="0"/>
                  <w:marRight w:val="0"/>
                  <w:marTop w:val="0"/>
                  <w:marBottom w:val="0"/>
                  <w:divBdr>
                    <w:top w:val="none" w:sz="0" w:space="0" w:color="auto"/>
                    <w:left w:val="none" w:sz="0" w:space="0" w:color="auto"/>
                    <w:bottom w:val="none" w:sz="0" w:space="0" w:color="auto"/>
                    <w:right w:val="none" w:sz="0" w:space="0" w:color="auto"/>
                  </w:divBdr>
                  <w:divsChild>
                    <w:div w:id="15751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5265">
          <w:marLeft w:val="0"/>
          <w:marRight w:val="0"/>
          <w:marTop w:val="0"/>
          <w:marBottom w:val="0"/>
          <w:divBdr>
            <w:top w:val="none" w:sz="0" w:space="0" w:color="auto"/>
            <w:left w:val="none" w:sz="0" w:space="0" w:color="auto"/>
            <w:bottom w:val="none" w:sz="0" w:space="0" w:color="auto"/>
            <w:right w:val="none" w:sz="0" w:space="0" w:color="auto"/>
          </w:divBdr>
        </w:div>
        <w:div w:id="1842506931">
          <w:marLeft w:val="0"/>
          <w:marRight w:val="0"/>
          <w:marTop w:val="0"/>
          <w:marBottom w:val="0"/>
          <w:divBdr>
            <w:top w:val="none" w:sz="0" w:space="0" w:color="auto"/>
            <w:left w:val="none" w:sz="0" w:space="0" w:color="auto"/>
            <w:bottom w:val="none" w:sz="0" w:space="0" w:color="auto"/>
            <w:right w:val="none" w:sz="0" w:space="0" w:color="auto"/>
          </w:divBdr>
        </w:div>
        <w:div w:id="1272937798">
          <w:marLeft w:val="0"/>
          <w:marRight w:val="0"/>
          <w:marTop w:val="0"/>
          <w:marBottom w:val="0"/>
          <w:divBdr>
            <w:top w:val="none" w:sz="0" w:space="0" w:color="auto"/>
            <w:left w:val="none" w:sz="0" w:space="0" w:color="auto"/>
            <w:bottom w:val="none" w:sz="0" w:space="0" w:color="auto"/>
            <w:right w:val="none" w:sz="0" w:space="0" w:color="auto"/>
          </w:divBdr>
          <w:divsChild>
            <w:div w:id="1424953330">
              <w:marLeft w:val="-75"/>
              <w:marRight w:val="0"/>
              <w:marTop w:val="30"/>
              <w:marBottom w:val="30"/>
              <w:divBdr>
                <w:top w:val="none" w:sz="0" w:space="0" w:color="auto"/>
                <w:left w:val="none" w:sz="0" w:space="0" w:color="auto"/>
                <w:bottom w:val="none" w:sz="0" w:space="0" w:color="auto"/>
                <w:right w:val="none" w:sz="0" w:space="0" w:color="auto"/>
              </w:divBdr>
              <w:divsChild>
                <w:div w:id="1295984669">
                  <w:marLeft w:val="0"/>
                  <w:marRight w:val="0"/>
                  <w:marTop w:val="0"/>
                  <w:marBottom w:val="0"/>
                  <w:divBdr>
                    <w:top w:val="none" w:sz="0" w:space="0" w:color="auto"/>
                    <w:left w:val="none" w:sz="0" w:space="0" w:color="auto"/>
                    <w:bottom w:val="none" w:sz="0" w:space="0" w:color="auto"/>
                    <w:right w:val="none" w:sz="0" w:space="0" w:color="auto"/>
                  </w:divBdr>
                  <w:divsChild>
                    <w:div w:id="1243220661">
                      <w:marLeft w:val="0"/>
                      <w:marRight w:val="0"/>
                      <w:marTop w:val="0"/>
                      <w:marBottom w:val="0"/>
                      <w:divBdr>
                        <w:top w:val="none" w:sz="0" w:space="0" w:color="auto"/>
                        <w:left w:val="none" w:sz="0" w:space="0" w:color="auto"/>
                        <w:bottom w:val="none" w:sz="0" w:space="0" w:color="auto"/>
                        <w:right w:val="none" w:sz="0" w:space="0" w:color="auto"/>
                      </w:divBdr>
                    </w:div>
                  </w:divsChild>
                </w:div>
                <w:div w:id="933440610">
                  <w:marLeft w:val="0"/>
                  <w:marRight w:val="0"/>
                  <w:marTop w:val="0"/>
                  <w:marBottom w:val="0"/>
                  <w:divBdr>
                    <w:top w:val="none" w:sz="0" w:space="0" w:color="auto"/>
                    <w:left w:val="none" w:sz="0" w:space="0" w:color="auto"/>
                    <w:bottom w:val="none" w:sz="0" w:space="0" w:color="auto"/>
                    <w:right w:val="none" w:sz="0" w:space="0" w:color="auto"/>
                  </w:divBdr>
                  <w:divsChild>
                    <w:div w:id="115562430">
                      <w:marLeft w:val="0"/>
                      <w:marRight w:val="0"/>
                      <w:marTop w:val="0"/>
                      <w:marBottom w:val="0"/>
                      <w:divBdr>
                        <w:top w:val="none" w:sz="0" w:space="0" w:color="auto"/>
                        <w:left w:val="none" w:sz="0" w:space="0" w:color="auto"/>
                        <w:bottom w:val="none" w:sz="0" w:space="0" w:color="auto"/>
                        <w:right w:val="none" w:sz="0" w:space="0" w:color="auto"/>
                      </w:divBdr>
                    </w:div>
                  </w:divsChild>
                </w:div>
                <w:div w:id="149175083">
                  <w:marLeft w:val="0"/>
                  <w:marRight w:val="0"/>
                  <w:marTop w:val="0"/>
                  <w:marBottom w:val="0"/>
                  <w:divBdr>
                    <w:top w:val="none" w:sz="0" w:space="0" w:color="auto"/>
                    <w:left w:val="none" w:sz="0" w:space="0" w:color="auto"/>
                    <w:bottom w:val="none" w:sz="0" w:space="0" w:color="auto"/>
                    <w:right w:val="none" w:sz="0" w:space="0" w:color="auto"/>
                  </w:divBdr>
                  <w:divsChild>
                    <w:div w:id="867568191">
                      <w:marLeft w:val="0"/>
                      <w:marRight w:val="0"/>
                      <w:marTop w:val="0"/>
                      <w:marBottom w:val="0"/>
                      <w:divBdr>
                        <w:top w:val="none" w:sz="0" w:space="0" w:color="auto"/>
                        <w:left w:val="none" w:sz="0" w:space="0" w:color="auto"/>
                        <w:bottom w:val="none" w:sz="0" w:space="0" w:color="auto"/>
                        <w:right w:val="none" w:sz="0" w:space="0" w:color="auto"/>
                      </w:divBdr>
                    </w:div>
                    <w:div w:id="324087348">
                      <w:marLeft w:val="0"/>
                      <w:marRight w:val="0"/>
                      <w:marTop w:val="0"/>
                      <w:marBottom w:val="0"/>
                      <w:divBdr>
                        <w:top w:val="none" w:sz="0" w:space="0" w:color="auto"/>
                        <w:left w:val="none" w:sz="0" w:space="0" w:color="auto"/>
                        <w:bottom w:val="none" w:sz="0" w:space="0" w:color="auto"/>
                        <w:right w:val="none" w:sz="0" w:space="0" w:color="auto"/>
                      </w:divBdr>
                    </w:div>
                  </w:divsChild>
                </w:div>
                <w:div w:id="341278489">
                  <w:marLeft w:val="0"/>
                  <w:marRight w:val="0"/>
                  <w:marTop w:val="0"/>
                  <w:marBottom w:val="0"/>
                  <w:divBdr>
                    <w:top w:val="none" w:sz="0" w:space="0" w:color="auto"/>
                    <w:left w:val="none" w:sz="0" w:space="0" w:color="auto"/>
                    <w:bottom w:val="none" w:sz="0" w:space="0" w:color="auto"/>
                    <w:right w:val="none" w:sz="0" w:space="0" w:color="auto"/>
                  </w:divBdr>
                  <w:divsChild>
                    <w:div w:id="2119325502">
                      <w:marLeft w:val="0"/>
                      <w:marRight w:val="0"/>
                      <w:marTop w:val="0"/>
                      <w:marBottom w:val="0"/>
                      <w:divBdr>
                        <w:top w:val="none" w:sz="0" w:space="0" w:color="auto"/>
                        <w:left w:val="none" w:sz="0" w:space="0" w:color="auto"/>
                        <w:bottom w:val="none" w:sz="0" w:space="0" w:color="auto"/>
                        <w:right w:val="none" w:sz="0" w:space="0" w:color="auto"/>
                      </w:divBdr>
                    </w:div>
                  </w:divsChild>
                </w:div>
                <w:div w:id="1405450432">
                  <w:marLeft w:val="0"/>
                  <w:marRight w:val="0"/>
                  <w:marTop w:val="0"/>
                  <w:marBottom w:val="0"/>
                  <w:divBdr>
                    <w:top w:val="none" w:sz="0" w:space="0" w:color="auto"/>
                    <w:left w:val="none" w:sz="0" w:space="0" w:color="auto"/>
                    <w:bottom w:val="none" w:sz="0" w:space="0" w:color="auto"/>
                    <w:right w:val="none" w:sz="0" w:space="0" w:color="auto"/>
                  </w:divBdr>
                  <w:divsChild>
                    <w:div w:id="477575291">
                      <w:marLeft w:val="0"/>
                      <w:marRight w:val="0"/>
                      <w:marTop w:val="0"/>
                      <w:marBottom w:val="0"/>
                      <w:divBdr>
                        <w:top w:val="none" w:sz="0" w:space="0" w:color="auto"/>
                        <w:left w:val="none" w:sz="0" w:space="0" w:color="auto"/>
                        <w:bottom w:val="none" w:sz="0" w:space="0" w:color="auto"/>
                        <w:right w:val="none" w:sz="0" w:space="0" w:color="auto"/>
                      </w:divBdr>
                    </w:div>
                  </w:divsChild>
                </w:div>
                <w:div w:id="318773116">
                  <w:marLeft w:val="0"/>
                  <w:marRight w:val="0"/>
                  <w:marTop w:val="0"/>
                  <w:marBottom w:val="0"/>
                  <w:divBdr>
                    <w:top w:val="none" w:sz="0" w:space="0" w:color="auto"/>
                    <w:left w:val="none" w:sz="0" w:space="0" w:color="auto"/>
                    <w:bottom w:val="none" w:sz="0" w:space="0" w:color="auto"/>
                    <w:right w:val="none" w:sz="0" w:space="0" w:color="auto"/>
                  </w:divBdr>
                  <w:divsChild>
                    <w:div w:id="175585434">
                      <w:marLeft w:val="0"/>
                      <w:marRight w:val="0"/>
                      <w:marTop w:val="0"/>
                      <w:marBottom w:val="0"/>
                      <w:divBdr>
                        <w:top w:val="none" w:sz="0" w:space="0" w:color="auto"/>
                        <w:left w:val="none" w:sz="0" w:space="0" w:color="auto"/>
                        <w:bottom w:val="none" w:sz="0" w:space="0" w:color="auto"/>
                        <w:right w:val="none" w:sz="0" w:space="0" w:color="auto"/>
                      </w:divBdr>
                    </w:div>
                  </w:divsChild>
                </w:div>
                <w:div w:id="922448701">
                  <w:marLeft w:val="0"/>
                  <w:marRight w:val="0"/>
                  <w:marTop w:val="0"/>
                  <w:marBottom w:val="0"/>
                  <w:divBdr>
                    <w:top w:val="none" w:sz="0" w:space="0" w:color="auto"/>
                    <w:left w:val="none" w:sz="0" w:space="0" w:color="auto"/>
                    <w:bottom w:val="none" w:sz="0" w:space="0" w:color="auto"/>
                    <w:right w:val="none" w:sz="0" w:space="0" w:color="auto"/>
                  </w:divBdr>
                  <w:divsChild>
                    <w:div w:id="51006494">
                      <w:marLeft w:val="0"/>
                      <w:marRight w:val="0"/>
                      <w:marTop w:val="0"/>
                      <w:marBottom w:val="0"/>
                      <w:divBdr>
                        <w:top w:val="none" w:sz="0" w:space="0" w:color="auto"/>
                        <w:left w:val="none" w:sz="0" w:space="0" w:color="auto"/>
                        <w:bottom w:val="none" w:sz="0" w:space="0" w:color="auto"/>
                        <w:right w:val="none" w:sz="0" w:space="0" w:color="auto"/>
                      </w:divBdr>
                    </w:div>
                  </w:divsChild>
                </w:div>
                <w:div w:id="475417414">
                  <w:marLeft w:val="0"/>
                  <w:marRight w:val="0"/>
                  <w:marTop w:val="0"/>
                  <w:marBottom w:val="0"/>
                  <w:divBdr>
                    <w:top w:val="none" w:sz="0" w:space="0" w:color="auto"/>
                    <w:left w:val="none" w:sz="0" w:space="0" w:color="auto"/>
                    <w:bottom w:val="none" w:sz="0" w:space="0" w:color="auto"/>
                    <w:right w:val="none" w:sz="0" w:space="0" w:color="auto"/>
                  </w:divBdr>
                  <w:divsChild>
                    <w:div w:id="335888262">
                      <w:marLeft w:val="0"/>
                      <w:marRight w:val="0"/>
                      <w:marTop w:val="0"/>
                      <w:marBottom w:val="0"/>
                      <w:divBdr>
                        <w:top w:val="none" w:sz="0" w:space="0" w:color="auto"/>
                        <w:left w:val="none" w:sz="0" w:space="0" w:color="auto"/>
                        <w:bottom w:val="none" w:sz="0" w:space="0" w:color="auto"/>
                        <w:right w:val="none" w:sz="0" w:space="0" w:color="auto"/>
                      </w:divBdr>
                    </w:div>
                  </w:divsChild>
                </w:div>
                <w:div w:id="258948680">
                  <w:marLeft w:val="0"/>
                  <w:marRight w:val="0"/>
                  <w:marTop w:val="0"/>
                  <w:marBottom w:val="0"/>
                  <w:divBdr>
                    <w:top w:val="none" w:sz="0" w:space="0" w:color="auto"/>
                    <w:left w:val="none" w:sz="0" w:space="0" w:color="auto"/>
                    <w:bottom w:val="none" w:sz="0" w:space="0" w:color="auto"/>
                    <w:right w:val="none" w:sz="0" w:space="0" w:color="auto"/>
                  </w:divBdr>
                  <w:divsChild>
                    <w:div w:id="1809735670">
                      <w:marLeft w:val="0"/>
                      <w:marRight w:val="0"/>
                      <w:marTop w:val="0"/>
                      <w:marBottom w:val="0"/>
                      <w:divBdr>
                        <w:top w:val="none" w:sz="0" w:space="0" w:color="auto"/>
                        <w:left w:val="none" w:sz="0" w:space="0" w:color="auto"/>
                        <w:bottom w:val="none" w:sz="0" w:space="0" w:color="auto"/>
                        <w:right w:val="none" w:sz="0" w:space="0" w:color="auto"/>
                      </w:divBdr>
                    </w:div>
                  </w:divsChild>
                </w:div>
                <w:div w:id="1659918139">
                  <w:marLeft w:val="0"/>
                  <w:marRight w:val="0"/>
                  <w:marTop w:val="0"/>
                  <w:marBottom w:val="0"/>
                  <w:divBdr>
                    <w:top w:val="none" w:sz="0" w:space="0" w:color="auto"/>
                    <w:left w:val="none" w:sz="0" w:space="0" w:color="auto"/>
                    <w:bottom w:val="none" w:sz="0" w:space="0" w:color="auto"/>
                    <w:right w:val="none" w:sz="0" w:space="0" w:color="auto"/>
                  </w:divBdr>
                  <w:divsChild>
                    <w:div w:id="1790321926">
                      <w:marLeft w:val="0"/>
                      <w:marRight w:val="0"/>
                      <w:marTop w:val="0"/>
                      <w:marBottom w:val="0"/>
                      <w:divBdr>
                        <w:top w:val="none" w:sz="0" w:space="0" w:color="auto"/>
                        <w:left w:val="none" w:sz="0" w:space="0" w:color="auto"/>
                        <w:bottom w:val="none" w:sz="0" w:space="0" w:color="auto"/>
                        <w:right w:val="none" w:sz="0" w:space="0" w:color="auto"/>
                      </w:divBdr>
                    </w:div>
                  </w:divsChild>
                </w:div>
                <w:div w:id="1588344544">
                  <w:marLeft w:val="0"/>
                  <w:marRight w:val="0"/>
                  <w:marTop w:val="0"/>
                  <w:marBottom w:val="0"/>
                  <w:divBdr>
                    <w:top w:val="none" w:sz="0" w:space="0" w:color="auto"/>
                    <w:left w:val="none" w:sz="0" w:space="0" w:color="auto"/>
                    <w:bottom w:val="none" w:sz="0" w:space="0" w:color="auto"/>
                    <w:right w:val="none" w:sz="0" w:space="0" w:color="auto"/>
                  </w:divBdr>
                  <w:divsChild>
                    <w:div w:id="515966553">
                      <w:marLeft w:val="0"/>
                      <w:marRight w:val="0"/>
                      <w:marTop w:val="0"/>
                      <w:marBottom w:val="0"/>
                      <w:divBdr>
                        <w:top w:val="none" w:sz="0" w:space="0" w:color="auto"/>
                        <w:left w:val="none" w:sz="0" w:space="0" w:color="auto"/>
                        <w:bottom w:val="none" w:sz="0" w:space="0" w:color="auto"/>
                        <w:right w:val="none" w:sz="0" w:space="0" w:color="auto"/>
                      </w:divBdr>
                    </w:div>
                    <w:div w:id="2097705494">
                      <w:marLeft w:val="0"/>
                      <w:marRight w:val="0"/>
                      <w:marTop w:val="0"/>
                      <w:marBottom w:val="0"/>
                      <w:divBdr>
                        <w:top w:val="none" w:sz="0" w:space="0" w:color="auto"/>
                        <w:left w:val="none" w:sz="0" w:space="0" w:color="auto"/>
                        <w:bottom w:val="none" w:sz="0" w:space="0" w:color="auto"/>
                        <w:right w:val="none" w:sz="0" w:space="0" w:color="auto"/>
                      </w:divBdr>
                    </w:div>
                  </w:divsChild>
                </w:div>
                <w:div w:id="1418944810">
                  <w:marLeft w:val="0"/>
                  <w:marRight w:val="0"/>
                  <w:marTop w:val="0"/>
                  <w:marBottom w:val="0"/>
                  <w:divBdr>
                    <w:top w:val="none" w:sz="0" w:space="0" w:color="auto"/>
                    <w:left w:val="none" w:sz="0" w:space="0" w:color="auto"/>
                    <w:bottom w:val="none" w:sz="0" w:space="0" w:color="auto"/>
                    <w:right w:val="none" w:sz="0" w:space="0" w:color="auto"/>
                  </w:divBdr>
                  <w:divsChild>
                    <w:div w:id="1239366899">
                      <w:marLeft w:val="0"/>
                      <w:marRight w:val="0"/>
                      <w:marTop w:val="0"/>
                      <w:marBottom w:val="0"/>
                      <w:divBdr>
                        <w:top w:val="none" w:sz="0" w:space="0" w:color="auto"/>
                        <w:left w:val="none" w:sz="0" w:space="0" w:color="auto"/>
                        <w:bottom w:val="none" w:sz="0" w:space="0" w:color="auto"/>
                        <w:right w:val="none" w:sz="0" w:space="0" w:color="auto"/>
                      </w:divBdr>
                    </w:div>
                  </w:divsChild>
                </w:div>
                <w:div w:id="1169709326">
                  <w:marLeft w:val="0"/>
                  <w:marRight w:val="0"/>
                  <w:marTop w:val="0"/>
                  <w:marBottom w:val="0"/>
                  <w:divBdr>
                    <w:top w:val="none" w:sz="0" w:space="0" w:color="auto"/>
                    <w:left w:val="none" w:sz="0" w:space="0" w:color="auto"/>
                    <w:bottom w:val="none" w:sz="0" w:space="0" w:color="auto"/>
                    <w:right w:val="none" w:sz="0" w:space="0" w:color="auto"/>
                  </w:divBdr>
                  <w:divsChild>
                    <w:div w:id="1871720823">
                      <w:marLeft w:val="0"/>
                      <w:marRight w:val="0"/>
                      <w:marTop w:val="0"/>
                      <w:marBottom w:val="0"/>
                      <w:divBdr>
                        <w:top w:val="none" w:sz="0" w:space="0" w:color="auto"/>
                        <w:left w:val="none" w:sz="0" w:space="0" w:color="auto"/>
                        <w:bottom w:val="none" w:sz="0" w:space="0" w:color="auto"/>
                        <w:right w:val="none" w:sz="0" w:space="0" w:color="auto"/>
                      </w:divBdr>
                    </w:div>
                  </w:divsChild>
                </w:div>
                <w:div w:id="1032461313">
                  <w:marLeft w:val="0"/>
                  <w:marRight w:val="0"/>
                  <w:marTop w:val="0"/>
                  <w:marBottom w:val="0"/>
                  <w:divBdr>
                    <w:top w:val="none" w:sz="0" w:space="0" w:color="auto"/>
                    <w:left w:val="none" w:sz="0" w:space="0" w:color="auto"/>
                    <w:bottom w:val="none" w:sz="0" w:space="0" w:color="auto"/>
                    <w:right w:val="none" w:sz="0" w:space="0" w:color="auto"/>
                  </w:divBdr>
                  <w:divsChild>
                    <w:div w:id="337315782">
                      <w:marLeft w:val="0"/>
                      <w:marRight w:val="0"/>
                      <w:marTop w:val="0"/>
                      <w:marBottom w:val="0"/>
                      <w:divBdr>
                        <w:top w:val="none" w:sz="0" w:space="0" w:color="auto"/>
                        <w:left w:val="none" w:sz="0" w:space="0" w:color="auto"/>
                        <w:bottom w:val="none" w:sz="0" w:space="0" w:color="auto"/>
                        <w:right w:val="none" w:sz="0" w:space="0" w:color="auto"/>
                      </w:divBdr>
                    </w:div>
                  </w:divsChild>
                </w:div>
                <w:div w:id="1585139743">
                  <w:marLeft w:val="0"/>
                  <w:marRight w:val="0"/>
                  <w:marTop w:val="0"/>
                  <w:marBottom w:val="0"/>
                  <w:divBdr>
                    <w:top w:val="none" w:sz="0" w:space="0" w:color="auto"/>
                    <w:left w:val="none" w:sz="0" w:space="0" w:color="auto"/>
                    <w:bottom w:val="none" w:sz="0" w:space="0" w:color="auto"/>
                    <w:right w:val="none" w:sz="0" w:space="0" w:color="auto"/>
                  </w:divBdr>
                  <w:divsChild>
                    <w:div w:id="832992090">
                      <w:marLeft w:val="0"/>
                      <w:marRight w:val="0"/>
                      <w:marTop w:val="0"/>
                      <w:marBottom w:val="0"/>
                      <w:divBdr>
                        <w:top w:val="none" w:sz="0" w:space="0" w:color="auto"/>
                        <w:left w:val="none" w:sz="0" w:space="0" w:color="auto"/>
                        <w:bottom w:val="none" w:sz="0" w:space="0" w:color="auto"/>
                        <w:right w:val="none" w:sz="0" w:space="0" w:color="auto"/>
                      </w:divBdr>
                    </w:div>
                  </w:divsChild>
                </w:div>
                <w:div w:id="191967525">
                  <w:marLeft w:val="0"/>
                  <w:marRight w:val="0"/>
                  <w:marTop w:val="0"/>
                  <w:marBottom w:val="0"/>
                  <w:divBdr>
                    <w:top w:val="none" w:sz="0" w:space="0" w:color="auto"/>
                    <w:left w:val="none" w:sz="0" w:space="0" w:color="auto"/>
                    <w:bottom w:val="none" w:sz="0" w:space="0" w:color="auto"/>
                    <w:right w:val="none" w:sz="0" w:space="0" w:color="auto"/>
                  </w:divBdr>
                  <w:divsChild>
                    <w:div w:id="1603731469">
                      <w:marLeft w:val="0"/>
                      <w:marRight w:val="0"/>
                      <w:marTop w:val="0"/>
                      <w:marBottom w:val="0"/>
                      <w:divBdr>
                        <w:top w:val="none" w:sz="0" w:space="0" w:color="auto"/>
                        <w:left w:val="none" w:sz="0" w:space="0" w:color="auto"/>
                        <w:bottom w:val="none" w:sz="0" w:space="0" w:color="auto"/>
                        <w:right w:val="none" w:sz="0" w:space="0" w:color="auto"/>
                      </w:divBdr>
                    </w:div>
                  </w:divsChild>
                </w:div>
                <w:div w:id="637220511">
                  <w:marLeft w:val="0"/>
                  <w:marRight w:val="0"/>
                  <w:marTop w:val="0"/>
                  <w:marBottom w:val="0"/>
                  <w:divBdr>
                    <w:top w:val="none" w:sz="0" w:space="0" w:color="auto"/>
                    <w:left w:val="none" w:sz="0" w:space="0" w:color="auto"/>
                    <w:bottom w:val="none" w:sz="0" w:space="0" w:color="auto"/>
                    <w:right w:val="none" w:sz="0" w:space="0" w:color="auto"/>
                  </w:divBdr>
                  <w:divsChild>
                    <w:div w:id="1683706403">
                      <w:marLeft w:val="0"/>
                      <w:marRight w:val="0"/>
                      <w:marTop w:val="0"/>
                      <w:marBottom w:val="0"/>
                      <w:divBdr>
                        <w:top w:val="none" w:sz="0" w:space="0" w:color="auto"/>
                        <w:left w:val="none" w:sz="0" w:space="0" w:color="auto"/>
                        <w:bottom w:val="none" w:sz="0" w:space="0" w:color="auto"/>
                        <w:right w:val="none" w:sz="0" w:space="0" w:color="auto"/>
                      </w:divBdr>
                    </w:div>
                  </w:divsChild>
                </w:div>
                <w:div w:id="1263106122">
                  <w:marLeft w:val="0"/>
                  <w:marRight w:val="0"/>
                  <w:marTop w:val="0"/>
                  <w:marBottom w:val="0"/>
                  <w:divBdr>
                    <w:top w:val="none" w:sz="0" w:space="0" w:color="auto"/>
                    <w:left w:val="none" w:sz="0" w:space="0" w:color="auto"/>
                    <w:bottom w:val="none" w:sz="0" w:space="0" w:color="auto"/>
                    <w:right w:val="none" w:sz="0" w:space="0" w:color="auto"/>
                  </w:divBdr>
                  <w:divsChild>
                    <w:div w:id="292951380">
                      <w:marLeft w:val="0"/>
                      <w:marRight w:val="0"/>
                      <w:marTop w:val="0"/>
                      <w:marBottom w:val="0"/>
                      <w:divBdr>
                        <w:top w:val="none" w:sz="0" w:space="0" w:color="auto"/>
                        <w:left w:val="none" w:sz="0" w:space="0" w:color="auto"/>
                        <w:bottom w:val="none" w:sz="0" w:space="0" w:color="auto"/>
                        <w:right w:val="none" w:sz="0" w:space="0" w:color="auto"/>
                      </w:divBdr>
                    </w:div>
                  </w:divsChild>
                </w:div>
                <w:div w:id="212547762">
                  <w:marLeft w:val="0"/>
                  <w:marRight w:val="0"/>
                  <w:marTop w:val="0"/>
                  <w:marBottom w:val="0"/>
                  <w:divBdr>
                    <w:top w:val="none" w:sz="0" w:space="0" w:color="auto"/>
                    <w:left w:val="none" w:sz="0" w:space="0" w:color="auto"/>
                    <w:bottom w:val="none" w:sz="0" w:space="0" w:color="auto"/>
                    <w:right w:val="none" w:sz="0" w:space="0" w:color="auto"/>
                  </w:divBdr>
                  <w:divsChild>
                    <w:div w:id="1279725052">
                      <w:marLeft w:val="0"/>
                      <w:marRight w:val="0"/>
                      <w:marTop w:val="0"/>
                      <w:marBottom w:val="0"/>
                      <w:divBdr>
                        <w:top w:val="none" w:sz="0" w:space="0" w:color="auto"/>
                        <w:left w:val="none" w:sz="0" w:space="0" w:color="auto"/>
                        <w:bottom w:val="none" w:sz="0" w:space="0" w:color="auto"/>
                        <w:right w:val="none" w:sz="0" w:space="0" w:color="auto"/>
                      </w:divBdr>
                    </w:div>
                  </w:divsChild>
                </w:div>
                <w:div w:id="1013534535">
                  <w:marLeft w:val="0"/>
                  <w:marRight w:val="0"/>
                  <w:marTop w:val="0"/>
                  <w:marBottom w:val="0"/>
                  <w:divBdr>
                    <w:top w:val="none" w:sz="0" w:space="0" w:color="auto"/>
                    <w:left w:val="none" w:sz="0" w:space="0" w:color="auto"/>
                    <w:bottom w:val="none" w:sz="0" w:space="0" w:color="auto"/>
                    <w:right w:val="none" w:sz="0" w:space="0" w:color="auto"/>
                  </w:divBdr>
                  <w:divsChild>
                    <w:div w:id="251856344">
                      <w:marLeft w:val="0"/>
                      <w:marRight w:val="0"/>
                      <w:marTop w:val="0"/>
                      <w:marBottom w:val="0"/>
                      <w:divBdr>
                        <w:top w:val="none" w:sz="0" w:space="0" w:color="auto"/>
                        <w:left w:val="none" w:sz="0" w:space="0" w:color="auto"/>
                        <w:bottom w:val="none" w:sz="0" w:space="0" w:color="auto"/>
                        <w:right w:val="none" w:sz="0" w:space="0" w:color="auto"/>
                      </w:divBdr>
                    </w:div>
                  </w:divsChild>
                </w:div>
                <w:div w:id="1127235756">
                  <w:marLeft w:val="0"/>
                  <w:marRight w:val="0"/>
                  <w:marTop w:val="0"/>
                  <w:marBottom w:val="0"/>
                  <w:divBdr>
                    <w:top w:val="none" w:sz="0" w:space="0" w:color="auto"/>
                    <w:left w:val="none" w:sz="0" w:space="0" w:color="auto"/>
                    <w:bottom w:val="none" w:sz="0" w:space="0" w:color="auto"/>
                    <w:right w:val="none" w:sz="0" w:space="0" w:color="auto"/>
                  </w:divBdr>
                  <w:divsChild>
                    <w:div w:id="116220550">
                      <w:marLeft w:val="0"/>
                      <w:marRight w:val="0"/>
                      <w:marTop w:val="0"/>
                      <w:marBottom w:val="0"/>
                      <w:divBdr>
                        <w:top w:val="none" w:sz="0" w:space="0" w:color="auto"/>
                        <w:left w:val="none" w:sz="0" w:space="0" w:color="auto"/>
                        <w:bottom w:val="none" w:sz="0" w:space="0" w:color="auto"/>
                        <w:right w:val="none" w:sz="0" w:space="0" w:color="auto"/>
                      </w:divBdr>
                    </w:div>
                  </w:divsChild>
                </w:div>
                <w:div w:id="1624000864">
                  <w:marLeft w:val="0"/>
                  <w:marRight w:val="0"/>
                  <w:marTop w:val="0"/>
                  <w:marBottom w:val="0"/>
                  <w:divBdr>
                    <w:top w:val="none" w:sz="0" w:space="0" w:color="auto"/>
                    <w:left w:val="none" w:sz="0" w:space="0" w:color="auto"/>
                    <w:bottom w:val="none" w:sz="0" w:space="0" w:color="auto"/>
                    <w:right w:val="none" w:sz="0" w:space="0" w:color="auto"/>
                  </w:divBdr>
                  <w:divsChild>
                    <w:div w:id="863134573">
                      <w:marLeft w:val="0"/>
                      <w:marRight w:val="0"/>
                      <w:marTop w:val="0"/>
                      <w:marBottom w:val="0"/>
                      <w:divBdr>
                        <w:top w:val="none" w:sz="0" w:space="0" w:color="auto"/>
                        <w:left w:val="none" w:sz="0" w:space="0" w:color="auto"/>
                        <w:bottom w:val="none" w:sz="0" w:space="0" w:color="auto"/>
                        <w:right w:val="none" w:sz="0" w:space="0" w:color="auto"/>
                      </w:divBdr>
                    </w:div>
                  </w:divsChild>
                </w:div>
                <w:div w:id="1832670571">
                  <w:marLeft w:val="0"/>
                  <w:marRight w:val="0"/>
                  <w:marTop w:val="0"/>
                  <w:marBottom w:val="0"/>
                  <w:divBdr>
                    <w:top w:val="none" w:sz="0" w:space="0" w:color="auto"/>
                    <w:left w:val="none" w:sz="0" w:space="0" w:color="auto"/>
                    <w:bottom w:val="none" w:sz="0" w:space="0" w:color="auto"/>
                    <w:right w:val="none" w:sz="0" w:space="0" w:color="auto"/>
                  </w:divBdr>
                  <w:divsChild>
                    <w:div w:id="5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8098">
          <w:marLeft w:val="0"/>
          <w:marRight w:val="0"/>
          <w:marTop w:val="0"/>
          <w:marBottom w:val="0"/>
          <w:divBdr>
            <w:top w:val="none" w:sz="0" w:space="0" w:color="auto"/>
            <w:left w:val="none" w:sz="0" w:space="0" w:color="auto"/>
            <w:bottom w:val="none" w:sz="0" w:space="0" w:color="auto"/>
            <w:right w:val="none" w:sz="0" w:space="0" w:color="auto"/>
          </w:divBdr>
        </w:div>
        <w:div w:id="694579513">
          <w:marLeft w:val="0"/>
          <w:marRight w:val="0"/>
          <w:marTop w:val="0"/>
          <w:marBottom w:val="0"/>
          <w:divBdr>
            <w:top w:val="none" w:sz="0" w:space="0" w:color="auto"/>
            <w:left w:val="none" w:sz="0" w:space="0" w:color="auto"/>
            <w:bottom w:val="none" w:sz="0" w:space="0" w:color="auto"/>
            <w:right w:val="none" w:sz="0" w:space="0" w:color="auto"/>
          </w:divBdr>
        </w:div>
        <w:div w:id="717167994">
          <w:marLeft w:val="0"/>
          <w:marRight w:val="0"/>
          <w:marTop w:val="0"/>
          <w:marBottom w:val="0"/>
          <w:divBdr>
            <w:top w:val="none" w:sz="0" w:space="0" w:color="auto"/>
            <w:left w:val="none" w:sz="0" w:space="0" w:color="auto"/>
            <w:bottom w:val="none" w:sz="0" w:space="0" w:color="auto"/>
            <w:right w:val="none" w:sz="0" w:space="0" w:color="auto"/>
          </w:divBdr>
          <w:divsChild>
            <w:div w:id="1822041228">
              <w:marLeft w:val="-75"/>
              <w:marRight w:val="0"/>
              <w:marTop w:val="30"/>
              <w:marBottom w:val="30"/>
              <w:divBdr>
                <w:top w:val="none" w:sz="0" w:space="0" w:color="auto"/>
                <w:left w:val="none" w:sz="0" w:space="0" w:color="auto"/>
                <w:bottom w:val="none" w:sz="0" w:space="0" w:color="auto"/>
                <w:right w:val="none" w:sz="0" w:space="0" w:color="auto"/>
              </w:divBdr>
              <w:divsChild>
                <w:div w:id="2010016922">
                  <w:marLeft w:val="0"/>
                  <w:marRight w:val="0"/>
                  <w:marTop w:val="0"/>
                  <w:marBottom w:val="0"/>
                  <w:divBdr>
                    <w:top w:val="none" w:sz="0" w:space="0" w:color="auto"/>
                    <w:left w:val="none" w:sz="0" w:space="0" w:color="auto"/>
                    <w:bottom w:val="none" w:sz="0" w:space="0" w:color="auto"/>
                    <w:right w:val="none" w:sz="0" w:space="0" w:color="auto"/>
                  </w:divBdr>
                  <w:divsChild>
                    <w:div w:id="889803665">
                      <w:marLeft w:val="0"/>
                      <w:marRight w:val="0"/>
                      <w:marTop w:val="0"/>
                      <w:marBottom w:val="0"/>
                      <w:divBdr>
                        <w:top w:val="none" w:sz="0" w:space="0" w:color="auto"/>
                        <w:left w:val="none" w:sz="0" w:space="0" w:color="auto"/>
                        <w:bottom w:val="none" w:sz="0" w:space="0" w:color="auto"/>
                        <w:right w:val="none" w:sz="0" w:space="0" w:color="auto"/>
                      </w:divBdr>
                    </w:div>
                  </w:divsChild>
                </w:div>
                <w:div w:id="1461336228">
                  <w:marLeft w:val="0"/>
                  <w:marRight w:val="0"/>
                  <w:marTop w:val="0"/>
                  <w:marBottom w:val="0"/>
                  <w:divBdr>
                    <w:top w:val="none" w:sz="0" w:space="0" w:color="auto"/>
                    <w:left w:val="none" w:sz="0" w:space="0" w:color="auto"/>
                    <w:bottom w:val="none" w:sz="0" w:space="0" w:color="auto"/>
                    <w:right w:val="none" w:sz="0" w:space="0" w:color="auto"/>
                  </w:divBdr>
                  <w:divsChild>
                    <w:div w:id="2107342292">
                      <w:marLeft w:val="0"/>
                      <w:marRight w:val="0"/>
                      <w:marTop w:val="0"/>
                      <w:marBottom w:val="0"/>
                      <w:divBdr>
                        <w:top w:val="none" w:sz="0" w:space="0" w:color="auto"/>
                        <w:left w:val="none" w:sz="0" w:space="0" w:color="auto"/>
                        <w:bottom w:val="none" w:sz="0" w:space="0" w:color="auto"/>
                        <w:right w:val="none" w:sz="0" w:space="0" w:color="auto"/>
                      </w:divBdr>
                    </w:div>
                  </w:divsChild>
                </w:div>
                <w:div w:id="1276715407">
                  <w:marLeft w:val="0"/>
                  <w:marRight w:val="0"/>
                  <w:marTop w:val="0"/>
                  <w:marBottom w:val="0"/>
                  <w:divBdr>
                    <w:top w:val="none" w:sz="0" w:space="0" w:color="auto"/>
                    <w:left w:val="none" w:sz="0" w:space="0" w:color="auto"/>
                    <w:bottom w:val="none" w:sz="0" w:space="0" w:color="auto"/>
                    <w:right w:val="none" w:sz="0" w:space="0" w:color="auto"/>
                  </w:divBdr>
                  <w:divsChild>
                    <w:div w:id="143860327">
                      <w:marLeft w:val="0"/>
                      <w:marRight w:val="0"/>
                      <w:marTop w:val="0"/>
                      <w:marBottom w:val="0"/>
                      <w:divBdr>
                        <w:top w:val="none" w:sz="0" w:space="0" w:color="auto"/>
                        <w:left w:val="none" w:sz="0" w:space="0" w:color="auto"/>
                        <w:bottom w:val="none" w:sz="0" w:space="0" w:color="auto"/>
                        <w:right w:val="none" w:sz="0" w:space="0" w:color="auto"/>
                      </w:divBdr>
                    </w:div>
                  </w:divsChild>
                </w:div>
                <w:div w:id="876817524">
                  <w:marLeft w:val="0"/>
                  <w:marRight w:val="0"/>
                  <w:marTop w:val="0"/>
                  <w:marBottom w:val="0"/>
                  <w:divBdr>
                    <w:top w:val="none" w:sz="0" w:space="0" w:color="auto"/>
                    <w:left w:val="none" w:sz="0" w:space="0" w:color="auto"/>
                    <w:bottom w:val="none" w:sz="0" w:space="0" w:color="auto"/>
                    <w:right w:val="none" w:sz="0" w:space="0" w:color="auto"/>
                  </w:divBdr>
                  <w:divsChild>
                    <w:div w:id="1777598479">
                      <w:marLeft w:val="0"/>
                      <w:marRight w:val="0"/>
                      <w:marTop w:val="0"/>
                      <w:marBottom w:val="0"/>
                      <w:divBdr>
                        <w:top w:val="none" w:sz="0" w:space="0" w:color="auto"/>
                        <w:left w:val="none" w:sz="0" w:space="0" w:color="auto"/>
                        <w:bottom w:val="none" w:sz="0" w:space="0" w:color="auto"/>
                        <w:right w:val="none" w:sz="0" w:space="0" w:color="auto"/>
                      </w:divBdr>
                    </w:div>
                  </w:divsChild>
                </w:div>
                <w:div w:id="972444930">
                  <w:marLeft w:val="0"/>
                  <w:marRight w:val="0"/>
                  <w:marTop w:val="0"/>
                  <w:marBottom w:val="0"/>
                  <w:divBdr>
                    <w:top w:val="none" w:sz="0" w:space="0" w:color="auto"/>
                    <w:left w:val="none" w:sz="0" w:space="0" w:color="auto"/>
                    <w:bottom w:val="none" w:sz="0" w:space="0" w:color="auto"/>
                    <w:right w:val="none" w:sz="0" w:space="0" w:color="auto"/>
                  </w:divBdr>
                  <w:divsChild>
                    <w:div w:id="1665469038">
                      <w:marLeft w:val="0"/>
                      <w:marRight w:val="0"/>
                      <w:marTop w:val="0"/>
                      <w:marBottom w:val="0"/>
                      <w:divBdr>
                        <w:top w:val="none" w:sz="0" w:space="0" w:color="auto"/>
                        <w:left w:val="none" w:sz="0" w:space="0" w:color="auto"/>
                        <w:bottom w:val="none" w:sz="0" w:space="0" w:color="auto"/>
                        <w:right w:val="none" w:sz="0" w:space="0" w:color="auto"/>
                      </w:divBdr>
                    </w:div>
                  </w:divsChild>
                </w:div>
                <w:div w:id="1299141600">
                  <w:marLeft w:val="0"/>
                  <w:marRight w:val="0"/>
                  <w:marTop w:val="0"/>
                  <w:marBottom w:val="0"/>
                  <w:divBdr>
                    <w:top w:val="none" w:sz="0" w:space="0" w:color="auto"/>
                    <w:left w:val="none" w:sz="0" w:space="0" w:color="auto"/>
                    <w:bottom w:val="none" w:sz="0" w:space="0" w:color="auto"/>
                    <w:right w:val="none" w:sz="0" w:space="0" w:color="auto"/>
                  </w:divBdr>
                  <w:divsChild>
                    <w:div w:id="1085758262">
                      <w:marLeft w:val="0"/>
                      <w:marRight w:val="0"/>
                      <w:marTop w:val="0"/>
                      <w:marBottom w:val="0"/>
                      <w:divBdr>
                        <w:top w:val="none" w:sz="0" w:space="0" w:color="auto"/>
                        <w:left w:val="none" w:sz="0" w:space="0" w:color="auto"/>
                        <w:bottom w:val="none" w:sz="0" w:space="0" w:color="auto"/>
                        <w:right w:val="none" w:sz="0" w:space="0" w:color="auto"/>
                      </w:divBdr>
                    </w:div>
                  </w:divsChild>
                </w:div>
                <w:div w:id="1109200732">
                  <w:marLeft w:val="0"/>
                  <w:marRight w:val="0"/>
                  <w:marTop w:val="0"/>
                  <w:marBottom w:val="0"/>
                  <w:divBdr>
                    <w:top w:val="none" w:sz="0" w:space="0" w:color="auto"/>
                    <w:left w:val="none" w:sz="0" w:space="0" w:color="auto"/>
                    <w:bottom w:val="none" w:sz="0" w:space="0" w:color="auto"/>
                    <w:right w:val="none" w:sz="0" w:space="0" w:color="auto"/>
                  </w:divBdr>
                  <w:divsChild>
                    <w:div w:id="1697386022">
                      <w:marLeft w:val="0"/>
                      <w:marRight w:val="0"/>
                      <w:marTop w:val="0"/>
                      <w:marBottom w:val="0"/>
                      <w:divBdr>
                        <w:top w:val="none" w:sz="0" w:space="0" w:color="auto"/>
                        <w:left w:val="none" w:sz="0" w:space="0" w:color="auto"/>
                        <w:bottom w:val="none" w:sz="0" w:space="0" w:color="auto"/>
                        <w:right w:val="none" w:sz="0" w:space="0" w:color="auto"/>
                      </w:divBdr>
                    </w:div>
                  </w:divsChild>
                </w:div>
                <w:div w:id="1974366812">
                  <w:marLeft w:val="0"/>
                  <w:marRight w:val="0"/>
                  <w:marTop w:val="0"/>
                  <w:marBottom w:val="0"/>
                  <w:divBdr>
                    <w:top w:val="none" w:sz="0" w:space="0" w:color="auto"/>
                    <w:left w:val="none" w:sz="0" w:space="0" w:color="auto"/>
                    <w:bottom w:val="none" w:sz="0" w:space="0" w:color="auto"/>
                    <w:right w:val="none" w:sz="0" w:space="0" w:color="auto"/>
                  </w:divBdr>
                  <w:divsChild>
                    <w:div w:id="1313758618">
                      <w:marLeft w:val="0"/>
                      <w:marRight w:val="0"/>
                      <w:marTop w:val="0"/>
                      <w:marBottom w:val="0"/>
                      <w:divBdr>
                        <w:top w:val="none" w:sz="0" w:space="0" w:color="auto"/>
                        <w:left w:val="none" w:sz="0" w:space="0" w:color="auto"/>
                        <w:bottom w:val="none" w:sz="0" w:space="0" w:color="auto"/>
                        <w:right w:val="none" w:sz="0" w:space="0" w:color="auto"/>
                      </w:divBdr>
                    </w:div>
                  </w:divsChild>
                </w:div>
                <w:div w:id="1988195109">
                  <w:marLeft w:val="0"/>
                  <w:marRight w:val="0"/>
                  <w:marTop w:val="0"/>
                  <w:marBottom w:val="0"/>
                  <w:divBdr>
                    <w:top w:val="none" w:sz="0" w:space="0" w:color="auto"/>
                    <w:left w:val="none" w:sz="0" w:space="0" w:color="auto"/>
                    <w:bottom w:val="none" w:sz="0" w:space="0" w:color="auto"/>
                    <w:right w:val="none" w:sz="0" w:space="0" w:color="auto"/>
                  </w:divBdr>
                  <w:divsChild>
                    <w:div w:id="1306396532">
                      <w:marLeft w:val="0"/>
                      <w:marRight w:val="0"/>
                      <w:marTop w:val="0"/>
                      <w:marBottom w:val="0"/>
                      <w:divBdr>
                        <w:top w:val="none" w:sz="0" w:space="0" w:color="auto"/>
                        <w:left w:val="none" w:sz="0" w:space="0" w:color="auto"/>
                        <w:bottom w:val="none" w:sz="0" w:space="0" w:color="auto"/>
                        <w:right w:val="none" w:sz="0" w:space="0" w:color="auto"/>
                      </w:divBdr>
                    </w:div>
                  </w:divsChild>
                </w:div>
                <w:div w:id="2133328735">
                  <w:marLeft w:val="0"/>
                  <w:marRight w:val="0"/>
                  <w:marTop w:val="0"/>
                  <w:marBottom w:val="0"/>
                  <w:divBdr>
                    <w:top w:val="none" w:sz="0" w:space="0" w:color="auto"/>
                    <w:left w:val="none" w:sz="0" w:space="0" w:color="auto"/>
                    <w:bottom w:val="none" w:sz="0" w:space="0" w:color="auto"/>
                    <w:right w:val="none" w:sz="0" w:space="0" w:color="auto"/>
                  </w:divBdr>
                  <w:divsChild>
                    <w:div w:id="249120069">
                      <w:marLeft w:val="0"/>
                      <w:marRight w:val="0"/>
                      <w:marTop w:val="0"/>
                      <w:marBottom w:val="0"/>
                      <w:divBdr>
                        <w:top w:val="none" w:sz="0" w:space="0" w:color="auto"/>
                        <w:left w:val="none" w:sz="0" w:space="0" w:color="auto"/>
                        <w:bottom w:val="none" w:sz="0" w:space="0" w:color="auto"/>
                        <w:right w:val="none" w:sz="0" w:space="0" w:color="auto"/>
                      </w:divBdr>
                    </w:div>
                  </w:divsChild>
                </w:div>
                <w:div w:id="577980270">
                  <w:marLeft w:val="0"/>
                  <w:marRight w:val="0"/>
                  <w:marTop w:val="0"/>
                  <w:marBottom w:val="0"/>
                  <w:divBdr>
                    <w:top w:val="none" w:sz="0" w:space="0" w:color="auto"/>
                    <w:left w:val="none" w:sz="0" w:space="0" w:color="auto"/>
                    <w:bottom w:val="none" w:sz="0" w:space="0" w:color="auto"/>
                    <w:right w:val="none" w:sz="0" w:space="0" w:color="auto"/>
                  </w:divBdr>
                  <w:divsChild>
                    <w:div w:id="1830561562">
                      <w:marLeft w:val="0"/>
                      <w:marRight w:val="0"/>
                      <w:marTop w:val="0"/>
                      <w:marBottom w:val="0"/>
                      <w:divBdr>
                        <w:top w:val="none" w:sz="0" w:space="0" w:color="auto"/>
                        <w:left w:val="none" w:sz="0" w:space="0" w:color="auto"/>
                        <w:bottom w:val="none" w:sz="0" w:space="0" w:color="auto"/>
                        <w:right w:val="none" w:sz="0" w:space="0" w:color="auto"/>
                      </w:divBdr>
                    </w:div>
                  </w:divsChild>
                </w:div>
                <w:div w:id="1727146867">
                  <w:marLeft w:val="0"/>
                  <w:marRight w:val="0"/>
                  <w:marTop w:val="0"/>
                  <w:marBottom w:val="0"/>
                  <w:divBdr>
                    <w:top w:val="none" w:sz="0" w:space="0" w:color="auto"/>
                    <w:left w:val="none" w:sz="0" w:space="0" w:color="auto"/>
                    <w:bottom w:val="none" w:sz="0" w:space="0" w:color="auto"/>
                    <w:right w:val="none" w:sz="0" w:space="0" w:color="auto"/>
                  </w:divBdr>
                  <w:divsChild>
                    <w:div w:id="1966810107">
                      <w:marLeft w:val="0"/>
                      <w:marRight w:val="0"/>
                      <w:marTop w:val="0"/>
                      <w:marBottom w:val="0"/>
                      <w:divBdr>
                        <w:top w:val="none" w:sz="0" w:space="0" w:color="auto"/>
                        <w:left w:val="none" w:sz="0" w:space="0" w:color="auto"/>
                        <w:bottom w:val="none" w:sz="0" w:space="0" w:color="auto"/>
                        <w:right w:val="none" w:sz="0" w:space="0" w:color="auto"/>
                      </w:divBdr>
                    </w:div>
                  </w:divsChild>
                </w:div>
                <w:div w:id="1334139939">
                  <w:marLeft w:val="0"/>
                  <w:marRight w:val="0"/>
                  <w:marTop w:val="0"/>
                  <w:marBottom w:val="0"/>
                  <w:divBdr>
                    <w:top w:val="none" w:sz="0" w:space="0" w:color="auto"/>
                    <w:left w:val="none" w:sz="0" w:space="0" w:color="auto"/>
                    <w:bottom w:val="none" w:sz="0" w:space="0" w:color="auto"/>
                    <w:right w:val="none" w:sz="0" w:space="0" w:color="auto"/>
                  </w:divBdr>
                  <w:divsChild>
                    <w:div w:id="1963266148">
                      <w:marLeft w:val="0"/>
                      <w:marRight w:val="0"/>
                      <w:marTop w:val="0"/>
                      <w:marBottom w:val="0"/>
                      <w:divBdr>
                        <w:top w:val="none" w:sz="0" w:space="0" w:color="auto"/>
                        <w:left w:val="none" w:sz="0" w:space="0" w:color="auto"/>
                        <w:bottom w:val="none" w:sz="0" w:space="0" w:color="auto"/>
                        <w:right w:val="none" w:sz="0" w:space="0" w:color="auto"/>
                      </w:divBdr>
                    </w:div>
                  </w:divsChild>
                </w:div>
                <w:div w:id="1921795870">
                  <w:marLeft w:val="0"/>
                  <w:marRight w:val="0"/>
                  <w:marTop w:val="0"/>
                  <w:marBottom w:val="0"/>
                  <w:divBdr>
                    <w:top w:val="none" w:sz="0" w:space="0" w:color="auto"/>
                    <w:left w:val="none" w:sz="0" w:space="0" w:color="auto"/>
                    <w:bottom w:val="none" w:sz="0" w:space="0" w:color="auto"/>
                    <w:right w:val="none" w:sz="0" w:space="0" w:color="auto"/>
                  </w:divBdr>
                  <w:divsChild>
                    <w:div w:id="1532717503">
                      <w:marLeft w:val="0"/>
                      <w:marRight w:val="0"/>
                      <w:marTop w:val="0"/>
                      <w:marBottom w:val="0"/>
                      <w:divBdr>
                        <w:top w:val="none" w:sz="0" w:space="0" w:color="auto"/>
                        <w:left w:val="none" w:sz="0" w:space="0" w:color="auto"/>
                        <w:bottom w:val="none" w:sz="0" w:space="0" w:color="auto"/>
                        <w:right w:val="none" w:sz="0" w:space="0" w:color="auto"/>
                      </w:divBdr>
                    </w:div>
                  </w:divsChild>
                </w:div>
                <w:div w:id="26805800">
                  <w:marLeft w:val="0"/>
                  <w:marRight w:val="0"/>
                  <w:marTop w:val="0"/>
                  <w:marBottom w:val="0"/>
                  <w:divBdr>
                    <w:top w:val="none" w:sz="0" w:space="0" w:color="auto"/>
                    <w:left w:val="none" w:sz="0" w:space="0" w:color="auto"/>
                    <w:bottom w:val="none" w:sz="0" w:space="0" w:color="auto"/>
                    <w:right w:val="none" w:sz="0" w:space="0" w:color="auto"/>
                  </w:divBdr>
                  <w:divsChild>
                    <w:div w:id="1287391683">
                      <w:marLeft w:val="0"/>
                      <w:marRight w:val="0"/>
                      <w:marTop w:val="0"/>
                      <w:marBottom w:val="0"/>
                      <w:divBdr>
                        <w:top w:val="none" w:sz="0" w:space="0" w:color="auto"/>
                        <w:left w:val="none" w:sz="0" w:space="0" w:color="auto"/>
                        <w:bottom w:val="none" w:sz="0" w:space="0" w:color="auto"/>
                        <w:right w:val="none" w:sz="0" w:space="0" w:color="auto"/>
                      </w:divBdr>
                    </w:div>
                  </w:divsChild>
                </w:div>
                <w:div w:id="1153178364">
                  <w:marLeft w:val="0"/>
                  <w:marRight w:val="0"/>
                  <w:marTop w:val="0"/>
                  <w:marBottom w:val="0"/>
                  <w:divBdr>
                    <w:top w:val="none" w:sz="0" w:space="0" w:color="auto"/>
                    <w:left w:val="none" w:sz="0" w:space="0" w:color="auto"/>
                    <w:bottom w:val="none" w:sz="0" w:space="0" w:color="auto"/>
                    <w:right w:val="none" w:sz="0" w:space="0" w:color="auto"/>
                  </w:divBdr>
                  <w:divsChild>
                    <w:div w:id="1207108483">
                      <w:marLeft w:val="0"/>
                      <w:marRight w:val="0"/>
                      <w:marTop w:val="0"/>
                      <w:marBottom w:val="0"/>
                      <w:divBdr>
                        <w:top w:val="none" w:sz="0" w:space="0" w:color="auto"/>
                        <w:left w:val="none" w:sz="0" w:space="0" w:color="auto"/>
                        <w:bottom w:val="none" w:sz="0" w:space="0" w:color="auto"/>
                        <w:right w:val="none" w:sz="0" w:space="0" w:color="auto"/>
                      </w:divBdr>
                    </w:div>
                  </w:divsChild>
                </w:div>
                <w:div w:id="1224634996">
                  <w:marLeft w:val="0"/>
                  <w:marRight w:val="0"/>
                  <w:marTop w:val="0"/>
                  <w:marBottom w:val="0"/>
                  <w:divBdr>
                    <w:top w:val="none" w:sz="0" w:space="0" w:color="auto"/>
                    <w:left w:val="none" w:sz="0" w:space="0" w:color="auto"/>
                    <w:bottom w:val="none" w:sz="0" w:space="0" w:color="auto"/>
                    <w:right w:val="none" w:sz="0" w:space="0" w:color="auto"/>
                  </w:divBdr>
                  <w:divsChild>
                    <w:div w:id="1408570842">
                      <w:marLeft w:val="0"/>
                      <w:marRight w:val="0"/>
                      <w:marTop w:val="0"/>
                      <w:marBottom w:val="0"/>
                      <w:divBdr>
                        <w:top w:val="none" w:sz="0" w:space="0" w:color="auto"/>
                        <w:left w:val="none" w:sz="0" w:space="0" w:color="auto"/>
                        <w:bottom w:val="none" w:sz="0" w:space="0" w:color="auto"/>
                        <w:right w:val="none" w:sz="0" w:space="0" w:color="auto"/>
                      </w:divBdr>
                    </w:div>
                  </w:divsChild>
                </w:div>
                <w:div w:id="1335301694">
                  <w:marLeft w:val="0"/>
                  <w:marRight w:val="0"/>
                  <w:marTop w:val="0"/>
                  <w:marBottom w:val="0"/>
                  <w:divBdr>
                    <w:top w:val="none" w:sz="0" w:space="0" w:color="auto"/>
                    <w:left w:val="none" w:sz="0" w:space="0" w:color="auto"/>
                    <w:bottom w:val="none" w:sz="0" w:space="0" w:color="auto"/>
                    <w:right w:val="none" w:sz="0" w:space="0" w:color="auto"/>
                  </w:divBdr>
                  <w:divsChild>
                    <w:div w:id="1760834809">
                      <w:marLeft w:val="0"/>
                      <w:marRight w:val="0"/>
                      <w:marTop w:val="0"/>
                      <w:marBottom w:val="0"/>
                      <w:divBdr>
                        <w:top w:val="none" w:sz="0" w:space="0" w:color="auto"/>
                        <w:left w:val="none" w:sz="0" w:space="0" w:color="auto"/>
                        <w:bottom w:val="none" w:sz="0" w:space="0" w:color="auto"/>
                        <w:right w:val="none" w:sz="0" w:space="0" w:color="auto"/>
                      </w:divBdr>
                    </w:div>
                  </w:divsChild>
                </w:div>
                <w:div w:id="737442572">
                  <w:marLeft w:val="0"/>
                  <w:marRight w:val="0"/>
                  <w:marTop w:val="0"/>
                  <w:marBottom w:val="0"/>
                  <w:divBdr>
                    <w:top w:val="none" w:sz="0" w:space="0" w:color="auto"/>
                    <w:left w:val="none" w:sz="0" w:space="0" w:color="auto"/>
                    <w:bottom w:val="none" w:sz="0" w:space="0" w:color="auto"/>
                    <w:right w:val="none" w:sz="0" w:space="0" w:color="auto"/>
                  </w:divBdr>
                  <w:divsChild>
                    <w:div w:id="1330905439">
                      <w:marLeft w:val="0"/>
                      <w:marRight w:val="0"/>
                      <w:marTop w:val="0"/>
                      <w:marBottom w:val="0"/>
                      <w:divBdr>
                        <w:top w:val="none" w:sz="0" w:space="0" w:color="auto"/>
                        <w:left w:val="none" w:sz="0" w:space="0" w:color="auto"/>
                        <w:bottom w:val="none" w:sz="0" w:space="0" w:color="auto"/>
                        <w:right w:val="none" w:sz="0" w:space="0" w:color="auto"/>
                      </w:divBdr>
                    </w:div>
                  </w:divsChild>
                </w:div>
                <w:div w:id="1589457483">
                  <w:marLeft w:val="0"/>
                  <w:marRight w:val="0"/>
                  <w:marTop w:val="0"/>
                  <w:marBottom w:val="0"/>
                  <w:divBdr>
                    <w:top w:val="none" w:sz="0" w:space="0" w:color="auto"/>
                    <w:left w:val="none" w:sz="0" w:space="0" w:color="auto"/>
                    <w:bottom w:val="none" w:sz="0" w:space="0" w:color="auto"/>
                    <w:right w:val="none" w:sz="0" w:space="0" w:color="auto"/>
                  </w:divBdr>
                  <w:divsChild>
                    <w:div w:id="958990352">
                      <w:marLeft w:val="0"/>
                      <w:marRight w:val="0"/>
                      <w:marTop w:val="0"/>
                      <w:marBottom w:val="0"/>
                      <w:divBdr>
                        <w:top w:val="none" w:sz="0" w:space="0" w:color="auto"/>
                        <w:left w:val="none" w:sz="0" w:space="0" w:color="auto"/>
                        <w:bottom w:val="none" w:sz="0" w:space="0" w:color="auto"/>
                        <w:right w:val="none" w:sz="0" w:space="0" w:color="auto"/>
                      </w:divBdr>
                    </w:div>
                  </w:divsChild>
                </w:div>
                <w:div w:id="1220705636">
                  <w:marLeft w:val="0"/>
                  <w:marRight w:val="0"/>
                  <w:marTop w:val="0"/>
                  <w:marBottom w:val="0"/>
                  <w:divBdr>
                    <w:top w:val="none" w:sz="0" w:space="0" w:color="auto"/>
                    <w:left w:val="none" w:sz="0" w:space="0" w:color="auto"/>
                    <w:bottom w:val="none" w:sz="0" w:space="0" w:color="auto"/>
                    <w:right w:val="none" w:sz="0" w:space="0" w:color="auto"/>
                  </w:divBdr>
                  <w:divsChild>
                    <w:div w:id="290672631">
                      <w:marLeft w:val="0"/>
                      <w:marRight w:val="0"/>
                      <w:marTop w:val="0"/>
                      <w:marBottom w:val="0"/>
                      <w:divBdr>
                        <w:top w:val="none" w:sz="0" w:space="0" w:color="auto"/>
                        <w:left w:val="none" w:sz="0" w:space="0" w:color="auto"/>
                        <w:bottom w:val="none" w:sz="0" w:space="0" w:color="auto"/>
                        <w:right w:val="none" w:sz="0" w:space="0" w:color="auto"/>
                      </w:divBdr>
                    </w:div>
                  </w:divsChild>
                </w:div>
                <w:div w:id="454910065">
                  <w:marLeft w:val="0"/>
                  <w:marRight w:val="0"/>
                  <w:marTop w:val="0"/>
                  <w:marBottom w:val="0"/>
                  <w:divBdr>
                    <w:top w:val="none" w:sz="0" w:space="0" w:color="auto"/>
                    <w:left w:val="none" w:sz="0" w:space="0" w:color="auto"/>
                    <w:bottom w:val="none" w:sz="0" w:space="0" w:color="auto"/>
                    <w:right w:val="none" w:sz="0" w:space="0" w:color="auto"/>
                  </w:divBdr>
                  <w:divsChild>
                    <w:div w:id="484856732">
                      <w:marLeft w:val="0"/>
                      <w:marRight w:val="0"/>
                      <w:marTop w:val="0"/>
                      <w:marBottom w:val="0"/>
                      <w:divBdr>
                        <w:top w:val="none" w:sz="0" w:space="0" w:color="auto"/>
                        <w:left w:val="none" w:sz="0" w:space="0" w:color="auto"/>
                        <w:bottom w:val="none" w:sz="0" w:space="0" w:color="auto"/>
                        <w:right w:val="none" w:sz="0" w:space="0" w:color="auto"/>
                      </w:divBdr>
                    </w:div>
                  </w:divsChild>
                </w:div>
                <w:div w:id="958947545">
                  <w:marLeft w:val="0"/>
                  <w:marRight w:val="0"/>
                  <w:marTop w:val="0"/>
                  <w:marBottom w:val="0"/>
                  <w:divBdr>
                    <w:top w:val="none" w:sz="0" w:space="0" w:color="auto"/>
                    <w:left w:val="none" w:sz="0" w:space="0" w:color="auto"/>
                    <w:bottom w:val="none" w:sz="0" w:space="0" w:color="auto"/>
                    <w:right w:val="none" w:sz="0" w:space="0" w:color="auto"/>
                  </w:divBdr>
                  <w:divsChild>
                    <w:div w:id="402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872">
          <w:marLeft w:val="0"/>
          <w:marRight w:val="0"/>
          <w:marTop w:val="0"/>
          <w:marBottom w:val="0"/>
          <w:divBdr>
            <w:top w:val="none" w:sz="0" w:space="0" w:color="auto"/>
            <w:left w:val="none" w:sz="0" w:space="0" w:color="auto"/>
            <w:bottom w:val="none" w:sz="0" w:space="0" w:color="auto"/>
            <w:right w:val="none" w:sz="0" w:space="0" w:color="auto"/>
          </w:divBdr>
        </w:div>
        <w:div w:id="51344584">
          <w:marLeft w:val="0"/>
          <w:marRight w:val="0"/>
          <w:marTop w:val="0"/>
          <w:marBottom w:val="0"/>
          <w:divBdr>
            <w:top w:val="none" w:sz="0" w:space="0" w:color="auto"/>
            <w:left w:val="none" w:sz="0" w:space="0" w:color="auto"/>
            <w:bottom w:val="none" w:sz="0" w:space="0" w:color="auto"/>
            <w:right w:val="none" w:sz="0" w:space="0" w:color="auto"/>
          </w:divBdr>
        </w:div>
        <w:div w:id="1389569821">
          <w:marLeft w:val="0"/>
          <w:marRight w:val="0"/>
          <w:marTop w:val="0"/>
          <w:marBottom w:val="0"/>
          <w:divBdr>
            <w:top w:val="none" w:sz="0" w:space="0" w:color="auto"/>
            <w:left w:val="none" w:sz="0" w:space="0" w:color="auto"/>
            <w:bottom w:val="none" w:sz="0" w:space="0" w:color="auto"/>
            <w:right w:val="none" w:sz="0" w:space="0" w:color="auto"/>
          </w:divBdr>
          <w:divsChild>
            <w:div w:id="936182603">
              <w:marLeft w:val="-75"/>
              <w:marRight w:val="0"/>
              <w:marTop w:val="30"/>
              <w:marBottom w:val="30"/>
              <w:divBdr>
                <w:top w:val="none" w:sz="0" w:space="0" w:color="auto"/>
                <w:left w:val="none" w:sz="0" w:space="0" w:color="auto"/>
                <w:bottom w:val="none" w:sz="0" w:space="0" w:color="auto"/>
                <w:right w:val="none" w:sz="0" w:space="0" w:color="auto"/>
              </w:divBdr>
              <w:divsChild>
                <w:div w:id="2007050202">
                  <w:marLeft w:val="0"/>
                  <w:marRight w:val="0"/>
                  <w:marTop w:val="0"/>
                  <w:marBottom w:val="0"/>
                  <w:divBdr>
                    <w:top w:val="none" w:sz="0" w:space="0" w:color="auto"/>
                    <w:left w:val="none" w:sz="0" w:space="0" w:color="auto"/>
                    <w:bottom w:val="none" w:sz="0" w:space="0" w:color="auto"/>
                    <w:right w:val="none" w:sz="0" w:space="0" w:color="auto"/>
                  </w:divBdr>
                  <w:divsChild>
                    <w:div w:id="1377122634">
                      <w:marLeft w:val="0"/>
                      <w:marRight w:val="0"/>
                      <w:marTop w:val="0"/>
                      <w:marBottom w:val="0"/>
                      <w:divBdr>
                        <w:top w:val="none" w:sz="0" w:space="0" w:color="auto"/>
                        <w:left w:val="none" w:sz="0" w:space="0" w:color="auto"/>
                        <w:bottom w:val="none" w:sz="0" w:space="0" w:color="auto"/>
                        <w:right w:val="none" w:sz="0" w:space="0" w:color="auto"/>
                      </w:divBdr>
                    </w:div>
                  </w:divsChild>
                </w:div>
                <w:div w:id="1585844239">
                  <w:marLeft w:val="0"/>
                  <w:marRight w:val="0"/>
                  <w:marTop w:val="0"/>
                  <w:marBottom w:val="0"/>
                  <w:divBdr>
                    <w:top w:val="none" w:sz="0" w:space="0" w:color="auto"/>
                    <w:left w:val="none" w:sz="0" w:space="0" w:color="auto"/>
                    <w:bottom w:val="none" w:sz="0" w:space="0" w:color="auto"/>
                    <w:right w:val="none" w:sz="0" w:space="0" w:color="auto"/>
                  </w:divBdr>
                  <w:divsChild>
                    <w:div w:id="1974092754">
                      <w:marLeft w:val="0"/>
                      <w:marRight w:val="0"/>
                      <w:marTop w:val="0"/>
                      <w:marBottom w:val="0"/>
                      <w:divBdr>
                        <w:top w:val="none" w:sz="0" w:space="0" w:color="auto"/>
                        <w:left w:val="none" w:sz="0" w:space="0" w:color="auto"/>
                        <w:bottom w:val="none" w:sz="0" w:space="0" w:color="auto"/>
                        <w:right w:val="none" w:sz="0" w:space="0" w:color="auto"/>
                      </w:divBdr>
                    </w:div>
                  </w:divsChild>
                </w:div>
                <w:div w:id="1212763782">
                  <w:marLeft w:val="0"/>
                  <w:marRight w:val="0"/>
                  <w:marTop w:val="0"/>
                  <w:marBottom w:val="0"/>
                  <w:divBdr>
                    <w:top w:val="none" w:sz="0" w:space="0" w:color="auto"/>
                    <w:left w:val="none" w:sz="0" w:space="0" w:color="auto"/>
                    <w:bottom w:val="none" w:sz="0" w:space="0" w:color="auto"/>
                    <w:right w:val="none" w:sz="0" w:space="0" w:color="auto"/>
                  </w:divBdr>
                  <w:divsChild>
                    <w:div w:id="793132330">
                      <w:marLeft w:val="0"/>
                      <w:marRight w:val="0"/>
                      <w:marTop w:val="0"/>
                      <w:marBottom w:val="0"/>
                      <w:divBdr>
                        <w:top w:val="none" w:sz="0" w:space="0" w:color="auto"/>
                        <w:left w:val="none" w:sz="0" w:space="0" w:color="auto"/>
                        <w:bottom w:val="none" w:sz="0" w:space="0" w:color="auto"/>
                        <w:right w:val="none" w:sz="0" w:space="0" w:color="auto"/>
                      </w:divBdr>
                    </w:div>
                    <w:div w:id="514882667">
                      <w:marLeft w:val="0"/>
                      <w:marRight w:val="0"/>
                      <w:marTop w:val="0"/>
                      <w:marBottom w:val="0"/>
                      <w:divBdr>
                        <w:top w:val="none" w:sz="0" w:space="0" w:color="auto"/>
                        <w:left w:val="none" w:sz="0" w:space="0" w:color="auto"/>
                        <w:bottom w:val="none" w:sz="0" w:space="0" w:color="auto"/>
                        <w:right w:val="none" w:sz="0" w:space="0" w:color="auto"/>
                      </w:divBdr>
                    </w:div>
                  </w:divsChild>
                </w:div>
                <w:div w:id="700323938">
                  <w:marLeft w:val="0"/>
                  <w:marRight w:val="0"/>
                  <w:marTop w:val="0"/>
                  <w:marBottom w:val="0"/>
                  <w:divBdr>
                    <w:top w:val="none" w:sz="0" w:space="0" w:color="auto"/>
                    <w:left w:val="none" w:sz="0" w:space="0" w:color="auto"/>
                    <w:bottom w:val="none" w:sz="0" w:space="0" w:color="auto"/>
                    <w:right w:val="none" w:sz="0" w:space="0" w:color="auto"/>
                  </w:divBdr>
                  <w:divsChild>
                    <w:div w:id="1997568857">
                      <w:marLeft w:val="0"/>
                      <w:marRight w:val="0"/>
                      <w:marTop w:val="0"/>
                      <w:marBottom w:val="0"/>
                      <w:divBdr>
                        <w:top w:val="none" w:sz="0" w:space="0" w:color="auto"/>
                        <w:left w:val="none" w:sz="0" w:space="0" w:color="auto"/>
                        <w:bottom w:val="none" w:sz="0" w:space="0" w:color="auto"/>
                        <w:right w:val="none" w:sz="0" w:space="0" w:color="auto"/>
                      </w:divBdr>
                    </w:div>
                  </w:divsChild>
                </w:div>
                <w:div w:id="1968773932">
                  <w:marLeft w:val="0"/>
                  <w:marRight w:val="0"/>
                  <w:marTop w:val="0"/>
                  <w:marBottom w:val="0"/>
                  <w:divBdr>
                    <w:top w:val="none" w:sz="0" w:space="0" w:color="auto"/>
                    <w:left w:val="none" w:sz="0" w:space="0" w:color="auto"/>
                    <w:bottom w:val="none" w:sz="0" w:space="0" w:color="auto"/>
                    <w:right w:val="none" w:sz="0" w:space="0" w:color="auto"/>
                  </w:divBdr>
                  <w:divsChild>
                    <w:div w:id="2011566211">
                      <w:marLeft w:val="0"/>
                      <w:marRight w:val="0"/>
                      <w:marTop w:val="0"/>
                      <w:marBottom w:val="0"/>
                      <w:divBdr>
                        <w:top w:val="none" w:sz="0" w:space="0" w:color="auto"/>
                        <w:left w:val="none" w:sz="0" w:space="0" w:color="auto"/>
                        <w:bottom w:val="none" w:sz="0" w:space="0" w:color="auto"/>
                        <w:right w:val="none" w:sz="0" w:space="0" w:color="auto"/>
                      </w:divBdr>
                    </w:div>
                  </w:divsChild>
                </w:div>
                <w:div w:id="288248173">
                  <w:marLeft w:val="0"/>
                  <w:marRight w:val="0"/>
                  <w:marTop w:val="0"/>
                  <w:marBottom w:val="0"/>
                  <w:divBdr>
                    <w:top w:val="none" w:sz="0" w:space="0" w:color="auto"/>
                    <w:left w:val="none" w:sz="0" w:space="0" w:color="auto"/>
                    <w:bottom w:val="none" w:sz="0" w:space="0" w:color="auto"/>
                    <w:right w:val="none" w:sz="0" w:space="0" w:color="auto"/>
                  </w:divBdr>
                  <w:divsChild>
                    <w:div w:id="1948467625">
                      <w:marLeft w:val="0"/>
                      <w:marRight w:val="0"/>
                      <w:marTop w:val="0"/>
                      <w:marBottom w:val="0"/>
                      <w:divBdr>
                        <w:top w:val="none" w:sz="0" w:space="0" w:color="auto"/>
                        <w:left w:val="none" w:sz="0" w:space="0" w:color="auto"/>
                        <w:bottom w:val="none" w:sz="0" w:space="0" w:color="auto"/>
                        <w:right w:val="none" w:sz="0" w:space="0" w:color="auto"/>
                      </w:divBdr>
                    </w:div>
                  </w:divsChild>
                </w:div>
                <w:div w:id="641160204">
                  <w:marLeft w:val="0"/>
                  <w:marRight w:val="0"/>
                  <w:marTop w:val="0"/>
                  <w:marBottom w:val="0"/>
                  <w:divBdr>
                    <w:top w:val="none" w:sz="0" w:space="0" w:color="auto"/>
                    <w:left w:val="none" w:sz="0" w:space="0" w:color="auto"/>
                    <w:bottom w:val="none" w:sz="0" w:space="0" w:color="auto"/>
                    <w:right w:val="none" w:sz="0" w:space="0" w:color="auto"/>
                  </w:divBdr>
                  <w:divsChild>
                    <w:div w:id="1701205556">
                      <w:marLeft w:val="0"/>
                      <w:marRight w:val="0"/>
                      <w:marTop w:val="0"/>
                      <w:marBottom w:val="0"/>
                      <w:divBdr>
                        <w:top w:val="none" w:sz="0" w:space="0" w:color="auto"/>
                        <w:left w:val="none" w:sz="0" w:space="0" w:color="auto"/>
                        <w:bottom w:val="none" w:sz="0" w:space="0" w:color="auto"/>
                        <w:right w:val="none" w:sz="0" w:space="0" w:color="auto"/>
                      </w:divBdr>
                    </w:div>
                  </w:divsChild>
                </w:div>
                <w:div w:id="1743985426">
                  <w:marLeft w:val="0"/>
                  <w:marRight w:val="0"/>
                  <w:marTop w:val="0"/>
                  <w:marBottom w:val="0"/>
                  <w:divBdr>
                    <w:top w:val="none" w:sz="0" w:space="0" w:color="auto"/>
                    <w:left w:val="none" w:sz="0" w:space="0" w:color="auto"/>
                    <w:bottom w:val="none" w:sz="0" w:space="0" w:color="auto"/>
                    <w:right w:val="none" w:sz="0" w:space="0" w:color="auto"/>
                  </w:divBdr>
                  <w:divsChild>
                    <w:div w:id="13846839">
                      <w:marLeft w:val="0"/>
                      <w:marRight w:val="0"/>
                      <w:marTop w:val="0"/>
                      <w:marBottom w:val="0"/>
                      <w:divBdr>
                        <w:top w:val="none" w:sz="0" w:space="0" w:color="auto"/>
                        <w:left w:val="none" w:sz="0" w:space="0" w:color="auto"/>
                        <w:bottom w:val="none" w:sz="0" w:space="0" w:color="auto"/>
                        <w:right w:val="none" w:sz="0" w:space="0" w:color="auto"/>
                      </w:divBdr>
                    </w:div>
                  </w:divsChild>
                </w:div>
                <w:div w:id="1830631675">
                  <w:marLeft w:val="0"/>
                  <w:marRight w:val="0"/>
                  <w:marTop w:val="0"/>
                  <w:marBottom w:val="0"/>
                  <w:divBdr>
                    <w:top w:val="none" w:sz="0" w:space="0" w:color="auto"/>
                    <w:left w:val="none" w:sz="0" w:space="0" w:color="auto"/>
                    <w:bottom w:val="none" w:sz="0" w:space="0" w:color="auto"/>
                    <w:right w:val="none" w:sz="0" w:space="0" w:color="auto"/>
                  </w:divBdr>
                  <w:divsChild>
                    <w:div w:id="114520408">
                      <w:marLeft w:val="0"/>
                      <w:marRight w:val="0"/>
                      <w:marTop w:val="0"/>
                      <w:marBottom w:val="0"/>
                      <w:divBdr>
                        <w:top w:val="none" w:sz="0" w:space="0" w:color="auto"/>
                        <w:left w:val="none" w:sz="0" w:space="0" w:color="auto"/>
                        <w:bottom w:val="none" w:sz="0" w:space="0" w:color="auto"/>
                        <w:right w:val="none" w:sz="0" w:space="0" w:color="auto"/>
                      </w:divBdr>
                    </w:div>
                  </w:divsChild>
                </w:div>
                <w:div w:id="526523321">
                  <w:marLeft w:val="0"/>
                  <w:marRight w:val="0"/>
                  <w:marTop w:val="0"/>
                  <w:marBottom w:val="0"/>
                  <w:divBdr>
                    <w:top w:val="none" w:sz="0" w:space="0" w:color="auto"/>
                    <w:left w:val="none" w:sz="0" w:space="0" w:color="auto"/>
                    <w:bottom w:val="none" w:sz="0" w:space="0" w:color="auto"/>
                    <w:right w:val="none" w:sz="0" w:space="0" w:color="auto"/>
                  </w:divBdr>
                  <w:divsChild>
                    <w:div w:id="346906158">
                      <w:marLeft w:val="0"/>
                      <w:marRight w:val="0"/>
                      <w:marTop w:val="0"/>
                      <w:marBottom w:val="0"/>
                      <w:divBdr>
                        <w:top w:val="none" w:sz="0" w:space="0" w:color="auto"/>
                        <w:left w:val="none" w:sz="0" w:space="0" w:color="auto"/>
                        <w:bottom w:val="none" w:sz="0" w:space="0" w:color="auto"/>
                        <w:right w:val="none" w:sz="0" w:space="0" w:color="auto"/>
                      </w:divBdr>
                    </w:div>
                  </w:divsChild>
                </w:div>
                <w:div w:id="1155146802">
                  <w:marLeft w:val="0"/>
                  <w:marRight w:val="0"/>
                  <w:marTop w:val="0"/>
                  <w:marBottom w:val="0"/>
                  <w:divBdr>
                    <w:top w:val="none" w:sz="0" w:space="0" w:color="auto"/>
                    <w:left w:val="none" w:sz="0" w:space="0" w:color="auto"/>
                    <w:bottom w:val="none" w:sz="0" w:space="0" w:color="auto"/>
                    <w:right w:val="none" w:sz="0" w:space="0" w:color="auto"/>
                  </w:divBdr>
                  <w:divsChild>
                    <w:div w:id="450055072">
                      <w:marLeft w:val="0"/>
                      <w:marRight w:val="0"/>
                      <w:marTop w:val="0"/>
                      <w:marBottom w:val="0"/>
                      <w:divBdr>
                        <w:top w:val="none" w:sz="0" w:space="0" w:color="auto"/>
                        <w:left w:val="none" w:sz="0" w:space="0" w:color="auto"/>
                        <w:bottom w:val="none" w:sz="0" w:space="0" w:color="auto"/>
                        <w:right w:val="none" w:sz="0" w:space="0" w:color="auto"/>
                      </w:divBdr>
                    </w:div>
                  </w:divsChild>
                </w:div>
                <w:div w:id="909802388">
                  <w:marLeft w:val="0"/>
                  <w:marRight w:val="0"/>
                  <w:marTop w:val="0"/>
                  <w:marBottom w:val="0"/>
                  <w:divBdr>
                    <w:top w:val="none" w:sz="0" w:space="0" w:color="auto"/>
                    <w:left w:val="none" w:sz="0" w:space="0" w:color="auto"/>
                    <w:bottom w:val="none" w:sz="0" w:space="0" w:color="auto"/>
                    <w:right w:val="none" w:sz="0" w:space="0" w:color="auto"/>
                  </w:divBdr>
                  <w:divsChild>
                    <w:div w:id="472328810">
                      <w:marLeft w:val="0"/>
                      <w:marRight w:val="0"/>
                      <w:marTop w:val="0"/>
                      <w:marBottom w:val="0"/>
                      <w:divBdr>
                        <w:top w:val="none" w:sz="0" w:space="0" w:color="auto"/>
                        <w:left w:val="none" w:sz="0" w:space="0" w:color="auto"/>
                        <w:bottom w:val="none" w:sz="0" w:space="0" w:color="auto"/>
                        <w:right w:val="none" w:sz="0" w:space="0" w:color="auto"/>
                      </w:divBdr>
                    </w:div>
                  </w:divsChild>
                </w:div>
                <w:div w:id="753430180">
                  <w:marLeft w:val="0"/>
                  <w:marRight w:val="0"/>
                  <w:marTop w:val="0"/>
                  <w:marBottom w:val="0"/>
                  <w:divBdr>
                    <w:top w:val="none" w:sz="0" w:space="0" w:color="auto"/>
                    <w:left w:val="none" w:sz="0" w:space="0" w:color="auto"/>
                    <w:bottom w:val="none" w:sz="0" w:space="0" w:color="auto"/>
                    <w:right w:val="none" w:sz="0" w:space="0" w:color="auto"/>
                  </w:divBdr>
                  <w:divsChild>
                    <w:div w:id="2123259181">
                      <w:marLeft w:val="0"/>
                      <w:marRight w:val="0"/>
                      <w:marTop w:val="0"/>
                      <w:marBottom w:val="0"/>
                      <w:divBdr>
                        <w:top w:val="none" w:sz="0" w:space="0" w:color="auto"/>
                        <w:left w:val="none" w:sz="0" w:space="0" w:color="auto"/>
                        <w:bottom w:val="none" w:sz="0" w:space="0" w:color="auto"/>
                        <w:right w:val="none" w:sz="0" w:space="0" w:color="auto"/>
                      </w:divBdr>
                    </w:div>
                  </w:divsChild>
                </w:div>
                <w:div w:id="1229923808">
                  <w:marLeft w:val="0"/>
                  <w:marRight w:val="0"/>
                  <w:marTop w:val="0"/>
                  <w:marBottom w:val="0"/>
                  <w:divBdr>
                    <w:top w:val="none" w:sz="0" w:space="0" w:color="auto"/>
                    <w:left w:val="none" w:sz="0" w:space="0" w:color="auto"/>
                    <w:bottom w:val="none" w:sz="0" w:space="0" w:color="auto"/>
                    <w:right w:val="none" w:sz="0" w:space="0" w:color="auto"/>
                  </w:divBdr>
                  <w:divsChild>
                    <w:div w:id="818377785">
                      <w:marLeft w:val="0"/>
                      <w:marRight w:val="0"/>
                      <w:marTop w:val="0"/>
                      <w:marBottom w:val="0"/>
                      <w:divBdr>
                        <w:top w:val="none" w:sz="0" w:space="0" w:color="auto"/>
                        <w:left w:val="none" w:sz="0" w:space="0" w:color="auto"/>
                        <w:bottom w:val="none" w:sz="0" w:space="0" w:color="auto"/>
                        <w:right w:val="none" w:sz="0" w:space="0" w:color="auto"/>
                      </w:divBdr>
                    </w:div>
                  </w:divsChild>
                </w:div>
                <w:div w:id="1440107483">
                  <w:marLeft w:val="0"/>
                  <w:marRight w:val="0"/>
                  <w:marTop w:val="0"/>
                  <w:marBottom w:val="0"/>
                  <w:divBdr>
                    <w:top w:val="none" w:sz="0" w:space="0" w:color="auto"/>
                    <w:left w:val="none" w:sz="0" w:space="0" w:color="auto"/>
                    <w:bottom w:val="none" w:sz="0" w:space="0" w:color="auto"/>
                    <w:right w:val="none" w:sz="0" w:space="0" w:color="auto"/>
                  </w:divBdr>
                  <w:divsChild>
                    <w:div w:id="232546299">
                      <w:marLeft w:val="0"/>
                      <w:marRight w:val="0"/>
                      <w:marTop w:val="0"/>
                      <w:marBottom w:val="0"/>
                      <w:divBdr>
                        <w:top w:val="none" w:sz="0" w:space="0" w:color="auto"/>
                        <w:left w:val="none" w:sz="0" w:space="0" w:color="auto"/>
                        <w:bottom w:val="none" w:sz="0" w:space="0" w:color="auto"/>
                        <w:right w:val="none" w:sz="0" w:space="0" w:color="auto"/>
                      </w:divBdr>
                    </w:div>
                  </w:divsChild>
                </w:div>
                <w:div w:id="486173807">
                  <w:marLeft w:val="0"/>
                  <w:marRight w:val="0"/>
                  <w:marTop w:val="0"/>
                  <w:marBottom w:val="0"/>
                  <w:divBdr>
                    <w:top w:val="none" w:sz="0" w:space="0" w:color="auto"/>
                    <w:left w:val="none" w:sz="0" w:space="0" w:color="auto"/>
                    <w:bottom w:val="none" w:sz="0" w:space="0" w:color="auto"/>
                    <w:right w:val="none" w:sz="0" w:space="0" w:color="auto"/>
                  </w:divBdr>
                  <w:divsChild>
                    <w:div w:id="839394914">
                      <w:marLeft w:val="0"/>
                      <w:marRight w:val="0"/>
                      <w:marTop w:val="0"/>
                      <w:marBottom w:val="0"/>
                      <w:divBdr>
                        <w:top w:val="none" w:sz="0" w:space="0" w:color="auto"/>
                        <w:left w:val="none" w:sz="0" w:space="0" w:color="auto"/>
                        <w:bottom w:val="none" w:sz="0" w:space="0" w:color="auto"/>
                        <w:right w:val="none" w:sz="0" w:space="0" w:color="auto"/>
                      </w:divBdr>
                    </w:div>
                  </w:divsChild>
                </w:div>
                <w:div w:id="1707371975">
                  <w:marLeft w:val="0"/>
                  <w:marRight w:val="0"/>
                  <w:marTop w:val="0"/>
                  <w:marBottom w:val="0"/>
                  <w:divBdr>
                    <w:top w:val="none" w:sz="0" w:space="0" w:color="auto"/>
                    <w:left w:val="none" w:sz="0" w:space="0" w:color="auto"/>
                    <w:bottom w:val="none" w:sz="0" w:space="0" w:color="auto"/>
                    <w:right w:val="none" w:sz="0" w:space="0" w:color="auto"/>
                  </w:divBdr>
                  <w:divsChild>
                    <w:div w:id="349720881">
                      <w:marLeft w:val="0"/>
                      <w:marRight w:val="0"/>
                      <w:marTop w:val="0"/>
                      <w:marBottom w:val="0"/>
                      <w:divBdr>
                        <w:top w:val="none" w:sz="0" w:space="0" w:color="auto"/>
                        <w:left w:val="none" w:sz="0" w:space="0" w:color="auto"/>
                        <w:bottom w:val="none" w:sz="0" w:space="0" w:color="auto"/>
                        <w:right w:val="none" w:sz="0" w:space="0" w:color="auto"/>
                      </w:divBdr>
                    </w:div>
                  </w:divsChild>
                </w:div>
                <w:div w:id="2142728952">
                  <w:marLeft w:val="0"/>
                  <w:marRight w:val="0"/>
                  <w:marTop w:val="0"/>
                  <w:marBottom w:val="0"/>
                  <w:divBdr>
                    <w:top w:val="none" w:sz="0" w:space="0" w:color="auto"/>
                    <w:left w:val="none" w:sz="0" w:space="0" w:color="auto"/>
                    <w:bottom w:val="none" w:sz="0" w:space="0" w:color="auto"/>
                    <w:right w:val="none" w:sz="0" w:space="0" w:color="auto"/>
                  </w:divBdr>
                  <w:divsChild>
                    <w:div w:id="484787271">
                      <w:marLeft w:val="0"/>
                      <w:marRight w:val="0"/>
                      <w:marTop w:val="0"/>
                      <w:marBottom w:val="0"/>
                      <w:divBdr>
                        <w:top w:val="none" w:sz="0" w:space="0" w:color="auto"/>
                        <w:left w:val="none" w:sz="0" w:space="0" w:color="auto"/>
                        <w:bottom w:val="none" w:sz="0" w:space="0" w:color="auto"/>
                        <w:right w:val="none" w:sz="0" w:space="0" w:color="auto"/>
                      </w:divBdr>
                    </w:div>
                  </w:divsChild>
                </w:div>
                <w:div w:id="544298665">
                  <w:marLeft w:val="0"/>
                  <w:marRight w:val="0"/>
                  <w:marTop w:val="0"/>
                  <w:marBottom w:val="0"/>
                  <w:divBdr>
                    <w:top w:val="none" w:sz="0" w:space="0" w:color="auto"/>
                    <w:left w:val="none" w:sz="0" w:space="0" w:color="auto"/>
                    <w:bottom w:val="none" w:sz="0" w:space="0" w:color="auto"/>
                    <w:right w:val="none" w:sz="0" w:space="0" w:color="auto"/>
                  </w:divBdr>
                  <w:divsChild>
                    <w:div w:id="1321348377">
                      <w:marLeft w:val="0"/>
                      <w:marRight w:val="0"/>
                      <w:marTop w:val="0"/>
                      <w:marBottom w:val="0"/>
                      <w:divBdr>
                        <w:top w:val="none" w:sz="0" w:space="0" w:color="auto"/>
                        <w:left w:val="none" w:sz="0" w:space="0" w:color="auto"/>
                        <w:bottom w:val="none" w:sz="0" w:space="0" w:color="auto"/>
                        <w:right w:val="none" w:sz="0" w:space="0" w:color="auto"/>
                      </w:divBdr>
                    </w:div>
                  </w:divsChild>
                </w:div>
                <w:div w:id="1333068931">
                  <w:marLeft w:val="0"/>
                  <w:marRight w:val="0"/>
                  <w:marTop w:val="0"/>
                  <w:marBottom w:val="0"/>
                  <w:divBdr>
                    <w:top w:val="none" w:sz="0" w:space="0" w:color="auto"/>
                    <w:left w:val="none" w:sz="0" w:space="0" w:color="auto"/>
                    <w:bottom w:val="none" w:sz="0" w:space="0" w:color="auto"/>
                    <w:right w:val="none" w:sz="0" w:space="0" w:color="auto"/>
                  </w:divBdr>
                  <w:divsChild>
                    <w:div w:id="662470120">
                      <w:marLeft w:val="0"/>
                      <w:marRight w:val="0"/>
                      <w:marTop w:val="0"/>
                      <w:marBottom w:val="0"/>
                      <w:divBdr>
                        <w:top w:val="none" w:sz="0" w:space="0" w:color="auto"/>
                        <w:left w:val="none" w:sz="0" w:space="0" w:color="auto"/>
                        <w:bottom w:val="none" w:sz="0" w:space="0" w:color="auto"/>
                        <w:right w:val="none" w:sz="0" w:space="0" w:color="auto"/>
                      </w:divBdr>
                    </w:div>
                  </w:divsChild>
                </w:div>
                <w:div w:id="2097242576">
                  <w:marLeft w:val="0"/>
                  <w:marRight w:val="0"/>
                  <w:marTop w:val="0"/>
                  <w:marBottom w:val="0"/>
                  <w:divBdr>
                    <w:top w:val="none" w:sz="0" w:space="0" w:color="auto"/>
                    <w:left w:val="none" w:sz="0" w:space="0" w:color="auto"/>
                    <w:bottom w:val="none" w:sz="0" w:space="0" w:color="auto"/>
                    <w:right w:val="none" w:sz="0" w:space="0" w:color="auto"/>
                  </w:divBdr>
                  <w:divsChild>
                    <w:div w:id="304315574">
                      <w:marLeft w:val="0"/>
                      <w:marRight w:val="0"/>
                      <w:marTop w:val="0"/>
                      <w:marBottom w:val="0"/>
                      <w:divBdr>
                        <w:top w:val="none" w:sz="0" w:space="0" w:color="auto"/>
                        <w:left w:val="none" w:sz="0" w:space="0" w:color="auto"/>
                        <w:bottom w:val="none" w:sz="0" w:space="0" w:color="auto"/>
                        <w:right w:val="none" w:sz="0" w:space="0" w:color="auto"/>
                      </w:divBdr>
                    </w:div>
                  </w:divsChild>
                </w:div>
                <w:div w:id="224997478">
                  <w:marLeft w:val="0"/>
                  <w:marRight w:val="0"/>
                  <w:marTop w:val="0"/>
                  <w:marBottom w:val="0"/>
                  <w:divBdr>
                    <w:top w:val="none" w:sz="0" w:space="0" w:color="auto"/>
                    <w:left w:val="none" w:sz="0" w:space="0" w:color="auto"/>
                    <w:bottom w:val="none" w:sz="0" w:space="0" w:color="auto"/>
                    <w:right w:val="none" w:sz="0" w:space="0" w:color="auto"/>
                  </w:divBdr>
                  <w:divsChild>
                    <w:div w:id="260378625">
                      <w:marLeft w:val="0"/>
                      <w:marRight w:val="0"/>
                      <w:marTop w:val="0"/>
                      <w:marBottom w:val="0"/>
                      <w:divBdr>
                        <w:top w:val="none" w:sz="0" w:space="0" w:color="auto"/>
                        <w:left w:val="none" w:sz="0" w:space="0" w:color="auto"/>
                        <w:bottom w:val="none" w:sz="0" w:space="0" w:color="auto"/>
                        <w:right w:val="none" w:sz="0" w:space="0" w:color="auto"/>
                      </w:divBdr>
                    </w:div>
                  </w:divsChild>
                </w:div>
                <w:div w:id="1720399638">
                  <w:marLeft w:val="0"/>
                  <w:marRight w:val="0"/>
                  <w:marTop w:val="0"/>
                  <w:marBottom w:val="0"/>
                  <w:divBdr>
                    <w:top w:val="none" w:sz="0" w:space="0" w:color="auto"/>
                    <w:left w:val="none" w:sz="0" w:space="0" w:color="auto"/>
                    <w:bottom w:val="none" w:sz="0" w:space="0" w:color="auto"/>
                    <w:right w:val="none" w:sz="0" w:space="0" w:color="auto"/>
                  </w:divBdr>
                  <w:divsChild>
                    <w:div w:id="14491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89884">
          <w:marLeft w:val="0"/>
          <w:marRight w:val="0"/>
          <w:marTop w:val="0"/>
          <w:marBottom w:val="0"/>
          <w:divBdr>
            <w:top w:val="none" w:sz="0" w:space="0" w:color="auto"/>
            <w:left w:val="none" w:sz="0" w:space="0" w:color="auto"/>
            <w:bottom w:val="none" w:sz="0" w:space="0" w:color="auto"/>
            <w:right w:val="none" w:sz="0" w:space="0" w:color="auto"/>
          </w:divBdr>
        </w:div>
        <w:div w:id="1210873070">
          <w:marLeft w:val="0"/>
          <w:marRight w:val="0"/>
          <w:marTop w:val="0"/>
          <w:marBottom w:val="0"/>
          <w:divBdr>
            <w:top w:val="none" w:sz="0" w:space="0" w:color="auto"/>
            <w:left w:val="none" w:sz="0" w:space="0" w:color="auto"/>
            <w:bottom w:val="none" w:sz="0" w:space="0" w:color="auto"/>
            <w:right w:val="none" w:sz="0" w:space="0" w:color="auto"/>
          </w:divBdr>
        </w:div>
        <w:div w:id="1782412487">
          <w:marLeft w:val="0"/>
          <w:marRight w:val="0"/>
          <w:marTop w:val="0"/>
          <w:marBottom w:val="0"/>
          <w:divBdr>
            <w:top w:val="none" w:sz="0" w:space="0" w:color="auto"/>
            <w:left w:val="none" w:sz="0" w:space="0" w:color="auto"/>
            <w:bottom w:val="none" w:sz="0" w:space="0" w:color="auto"/>
            <w:right w:val="none" w:sz="0" w:space="0" w:color="auto"/>
          </w:divBdr>
          <w:divsChild>
            <w:div w:id="1568610385">
              <w:marLeft w:val="-75"/>
              <w:marRight w:val="0"/>
              <w:marTop w:val="30"/>
              <w:marBottom w:val="30"/>
              <w:divBdr>
                <w:top w:val="none" w:sz="0" w:space="0" w:color="auto"/>
                <w:left w:val="none" w:sz="0" w:space="0" w:color="auto"/>
                <w:bottom w:val="none" w:sz="0" w:space="0" w:color="auto"/>
                <w:right w:val="none" w:sz="0" w:space="0" w:color="auto"/>
              </w:divBdr>
              <w:divsChild>
                <w:div w:id="1715889180">
                  <w:marLeft w:val="0"/>
                  <w:marRight w:val="0"/>
                  <w:marTop w:val="0"/>
                  <w:marBottom w:val="0"/>
                  <w:divBdr>
                    <w:top w:val="none" w:sz="0" w:space="0" w:color="auto"/>
                    <w:left w:val="none" w:sz="0" w:space="0" w:color="auto"/>
                    <w:bottom w:val="none" w:sz="0" w:space="0" w:color="auto"/>
                    <w:right w:val="none" w:sz="0" w:space="0" w:color="auto"/>
                  </w:divBdr>
                  <w:divsChild>
                    <w:div w:id="2021809134">
                      <w:marLeft w:val="0"/>
                      <w:marRight w:val="0"/>
                      <w:marTop w:val="0"/>
                      <w:marBottom w:val="0"/>
                      <w:divBdr>
                        <w:top w:val="none" w:sz="0" w:space="0" w:color="auto"/>
                        <w:left w:val="none" w:sz="0" w:space="0" w:color="auto"/>
                        <w:bottom w:val="none" w:sz="0" w:space="0" w:color="auto"/>
                        <w:right w:val="none" w:sz="0" w:space="0" w:color="auto"/>
                      </w:divBdr>
                    </w:div>
                  </w:divsChild>
                </w:div>
                <w:div w:id="1745107104">
                  <w:marLeft w:val="0"/>
                  <w:marRight w:val="0"/>
                  <w:marTop w:val="0"/>
                  <w:marBottom w:val="0"/>
                  <w:divBdr>
                    <w:top w:val="none" w:sz="0" w:space="0" w:color="auto"/>
                    <w:left w:val="none" w:sz="0" w:space="0" w:color="auto"/>
                    <w:bottom w:val="none" w:sz="0" w:space="0" w:color="auto"/>
                    <w:right w:val="none" w:sz="0" w:space="0" w:color="auto"/>
                  </w:divBdr>
                  <w:divsChild>
                    <w:div w:id="1033190400">
                      <w:marLeft w:val="0"/>
                      <w:marRight w:val="0"/>
                      <w:marTop w:val="0"/>
                      <w:marBottom w:val="0"/>
                      <w:divBdr>
                        <w:top w:val="none" w:sz="0" w:space="0" w:color="auto"/>
                        <w:left w:val="none" w:sz="0" w:space="0" w:color="auto"/>
                        <w:bottom w:val="none" w:sz="0" w:space="0" w:color="auto"/>
                        <w:right w:val="none" w:sz="0" w:space="0" w:color="auto"/>
                      </w:divBdr>
                    </w:div>
                  </w:divsChild>
                </w:div>
                <w:div w:id="1226910915">
                  <w:marLeft w:val="0"/>
                  <w:marRight w:val="0"/>
                  <w:marTop w:val="0"/>
                  <w:marBottom w:val="0"/>
                  <w:divBdr>
                    <w:top w:val="none" w:sz="0" w:space="0" w:color="auto"/>
                    <w:left w:val="none" w:sz="0" w:space="0" w:color="auto"/>
                    <w:bottom w:val="none" w:sz="0" w:space="0" w:color="auto"/>
                    <w:right w:val="none" w:sz="0" w:space="0" w:color="auto"/>
                  </w:divBdr>
                  <w:divsChild>
                    <w:div w:id="1887646067">
                      <w:marLeft w:val="0"/>
                      <w:marRight w:val="0"/>
                      <w:marTop w:val="0"/>
                      <w:marBottom w:val="0"/>
                      <w:divBdr>
                        <w:top w:val="none" w:sz="0" w:space="0" w:color="auto"/>
                        <w:left w:val="none" w:sz="0" w:space="0" w:color="auto"/>
                        <w:bottom w:val="none" w:sz="0" w:space="0" w:color="auto"/>
                        <w:right w:val="none" w:sz="0" w:space="0" w:color="auto"/>
                      </w:divBdr>
                    </w:div>
                    <w:div w:id="451244222">
                      <w:marLeft w:val="0"/>
                      <w:marRight w:val="0"/>
                      <w:marTop w:val="0"/>
                      <w:marBottom w:val="0"/>
                      <w:divBdr>
                        <w:top w:val="none" w:sz="0" w:space="0" w:color="auto"/>
                        <w:left w:val="none" w:sz="0" w:space="0" w:color="auto"/>
                        <w:bottom w:val="none" w:sz="0" w:space="0" w:color="auto"/>
                        <w:right w:val="none" w:sz="0" w:space="0" w:color="auto"/>
                      </w:divBdr>
                    </w:div>
                  </w:divsChild>
                </w:div>
                <w:div w:id="1722093716">
                  <w:marLeft w:val="0"/>
                  <w:marRight w:val="0"/>
                  <w:marTop w:val="0"/>
                  <w:marBottom w:val="0"/>
                  <w:divBdr>
                    <w:top w:val="none" w:sz="0" w:space="0" w:color="auto"/>
                    <w:left w:val="none" w:sz="0" w:space="0" w:color="auto"/>
                    <w:bottom w:val="none" w:sz="0" w:space="0" w:color="auto"/>
                    <w:right w:val="none" w:sz="0" w:space="0" w:color="auto"/>
                  </w:divBdr>
                  <w:divsChild>
                    <w:div w:id="1162040665">
                      <w:marLeft w:val="0"/>
                      <w:marRight w:val="0"/>
                      <w:marTop w:val="0"/>
                      <w:marBottom w:val="0"/>
                      <w:divBdr>
                        <w:top w:val="none" w:sz="0" w:space="0" w:color="auto"/>
                        <w:left w:val="none" w:sz="0" w:space="0" w:color="auto"/>
                        <w:bottom w:val="none" w:sz="0" w:space="0" w:color="auto"/>
                        <w:right w:val="none" w:sz="0" w:space="0" w:color="auto"/>
                      </w:divBdr>
                    </w:div>
                  </w:divsChild>
                </w:div>
                <w:div w:id="1712806553">
                  <w:marLeft w:val="0"/>
                  <w:marRight w:val="0"/>
                  <w:marTop w:val="0"/>
                  <w:marBottom w:val="0"/>
                  <w:divBdr>
                    <w:top w:val="none" w:sz="0" w:space="0" w:color="auto"/>
                    <w:left w:val="none" w:sz="0" w:space="0" w:color="auto"/>
                    <w:bottom w:val="none" w:sz="0" w:space="0" w:color="auto"/>
                    <w:right w:val="none" w:sz="0" w:space="0" w:color="auto"/>
                  </w:divBdr>
                  <w:divsChild>
                    <w:div w:id="61879899">
                      <w:marLeft w:val="0"/>
                      <w:marRight w:val="0"/>
                      <w:marTop w:val="0"/>
                      <w:marBottom w:val="0"/>
                      <w:divBdr>
                        <w:top w:val="none" w:sz="0" w:space="0" w:color="auto"/>
                        <w:left w:val="none" w:sz="0" w:space="0" w:color="auto"/>
                        <w:bottom w:val="none" w:sz="0" w:space="0" w:color="auto"/>
                        <w:right w:val="none" w:sz="0" w:space="0" w:color="auto"/>
                      </w:divBdr>
                    </w:div>
                  </w:divsChild>
                </w:div>
                <w:div w:id="2060863379">
                  <w:marLeft w:val="0"/>
                  <w:marRight w:val="0"/>
                  <w:marTop w:val="0"/>
                  <w:marBottom w:val="0"/>
                  <w:divBdr>
                    <w:top w:val="none" w:sz="0" w:space="0" w:color="auto"/>
                    <w:left w:val="none" w:sz="0" w:space="0" w:color="auto"/>
                    <w:bottom w:val="none" w:sz="0" w:space="0" w:color="auto"/>
                    <w:right w:val="none" w:sz="0" w:space="0" w:color="auto"/>
                  </w:divBdr>
                  <w:divsChild>
                    <w:div w:id="968776540">
                      <w:marLeft w:val="0"/>
                      <w:marRight w:val="0"/>
                      <w:marTop w:val="0"/>
                      <w:marBottom w:val="0"/>
                      <w:divBdr>
                        <w:top w:val="none" w:sz="0" w:space="0" w:color="auto"/>
                        <w:left w:val="none" w:sz="0" w:space="0" w:color="auto"/>
                        <w:bottom w:val="none" w:sz="0" w:space="0" w:color="auto"/>
                        <w:right w:val="none" w:sz="0" w:space="0" w:color="auto"/>
                      </w:divBdr>
                    </w:div>
                  </w:divsChild>
                </w:div>
                <w:div w:id="665666578">
                  <w:marLeft w:val="0"/>
                  <w:marRight w:val="0"/>
                  <w:marTop w:val="0"/>
                  <w:marBottom w:val="0"/>
                  <w:divBdr>
                    <w:top w:val="none" w:sz="0" w:space="0" w:color="auto"/>
                    <w:left w:val="none" w:sz="0" w:space="0" w:color="auto"/>
                    <w:bottom w:val="none" w:sz="0" w:space="0" w:color="auto"/>
                    <w:right w:val="none" w:sz="0" w:space="0" w:color="auto"/>
                  </w:divBdr>
                  <w:divsChild>
                    <w:div w:id="2133672512">
                      <w:marLeft w:val="0"/>
                      <w:marRight w:val="0"/>
                      <w:marTop w:val="0"/>
                      <w:marBottom w:val="0"/>
                      <w:divBdr>
                        <w:top w:val="none" w:sz="0" w:space="0" w:color="auto"/>
                        <w:left w:val="none" w:sz="0" w:space="0" w:color="auto"/>
                        <w:bottom w:val="none" w:sz="0" w:space="0" w:color="auto"/>
                        <w:right w:val="none" w:sz="0" w:space="0" w:color="auto"/>
                      </w:divBdr>
                    </w:div>
                  </w:divsChild>
                </w:div>
                <w:div w:id="469597945">
                  <w:marLeft w:val="0"/>
                  <w:marRight w:val="0"/>
                  <w:marTop w:val="0"/>
                  <w:marBottom w:val="0"/>
                  <w:divBdr>
                    <w:top w:val="none" w:sz="0" w:space="0" w:color="auto"/>
                    <w:left w:val="none" w:sz="0" w:space="0" w:color="auto"/>
                    <w:bottom w:val="none" w:sz="0" w:space="0" w:color="auto"/>
                    <w:right w:val="none" w:sz="0" w:space="0" w:color="auto"/>
                  </w:divBdr>
                  <w:divsChild>
                    <w:div w:id="296112191">
                      <w:marLeft w:val="0"/>
                      <w:marRight w:val="0"/>
                      <w:marTop w:val="0"/>
                      <w:marBottom w:val="0"/>
                      <w:divBdr>
                        <w:top w:val="none" w:sz="0" w:space="0" w:color="auto"/>
                        <w:left w:val="none" w:sz="0" w:space="0" w:color="auto"/>
                        <w:bottom w:val="none" w:sz="0" w:space="0" w:color="auto"/>
                        <w:right w:val="none" w:sz="0" w:space="0" w:color="auto"/>
                      </w:divBdr>
                    </w:div>
                  </w:divsChild>
                </w:div>
                <w:div w:id="518399946">
                  <w:marLeft w:val="0"/>
                  <w:marRight w:val="0"/>
                  <w:marTop w:val="0"/>
                  <w:marBottom w:val="0"/>
                  <w:divBdr>
                    <w:top w:val="none" w:sz="0" w:space="0" w:color="auto"/>
                    <w:left w:val="none" w:sz="0" w:space="0" w:color="auto"/>
                    <w:bottom w:val="none" w:sz="0" w:space="0" w:color="auto"/>
                    <w:right w:val="none" w:sz="0" w:space="0" w:color="auto"/>
                  </w:divBdr>
                  <w:divsChild>
                    <w:div w:id="1306592861">
                      <w:marLeft w:val="0"/>
                      <w:marRight w:val="0"/>
                      <w:marTop w:val="0"/>
                      <w:marBottom w:val="0"/>
                      <w:divBdr>
                        <w:top w:val="none" w:sz="0" w:space="0" w:color="auto"/>
                        <w:left w:val="none" w:sz="0" w:space="0" w:color="auto"/>
                        <w:bottom w:val="none" w:sz="0" w:space="0" w:color="auto"/>
                        <w:right w:val="none" w:sz="0" w:space="0" w:color="auto"/>
                      </w:divBdr>
                    </w:div>
                  </w:divsChild>
                </w:div>
                <w:div w:id="1769616515">
                  <w:marLeft w:val="0"/>
                  <w:marRight w:val="0"/>
                  <w:marTop w:val="0"/>
                  <w:marBottom w:val="0"/>
                  <w:divBdr>
                    <w:top w:val="none" w:sz="0" w:space="0" w:color="auto"/>
                    <w:left w:val="none" w:sz="0" w:space="0" w:color="auto"/>
                    <w:bottom w:val="none" w:sz="0" w:space="0" w:color="auto"/>
                    <w:right w:val="none" w:sz="0" w:space="0" w:color="auto"/>
                  </w:divBdr>
                  <w:divsChild>
                    <w:div w:id="2000695145">
                      <w:marLeft w:val="0"/>
                      <w:marRight w:val="0"/>
                      <w:marTop w:val="0"/>
                      <w:marBottom w:val="0"/>
                      <w:divBdr>
                        <w:top w:val="none" w:sz="0" w:space="0" w:color="auto"/>
                        <w:left w:val="none" w:sz="0" w:space="0" w:color="auto"/>
                        <w:bottom w:val="none" w:sz="0" w:space="0" w:color="auto"/>
                        <w:right w:val="none" w:sz="0" w:space="0" w:color="auto"/>
                      </w:divBdr>
                    </w:div>
                  </w:divsChild>
                </w:div>
                <w:div w:id="359746730">
                  <w:marLeft w:val="0"/>
                  <w:marRight w:val="0"/>
                  <w:marTop w:val="0"/>
                  <w:marBottom w:val="0"/>
                  <w:divBdr>
                    <w:top w:val="none" w:sz="0" w:space="0" w:color="auto"/>
                    <w:left w:val="none" w:sz="0" w:space="0" w:color="auto"/>
                    <w:bottom w:val="none" w:sz="0" w:space="0" w:color="auto"/>
                    <w:right w:val="none" w:sz="0" w:space="0" w:color="auto"/>
                  </w:divBdr>
                  <w:divsChild>
                    <w:div w:id="521935898">
                      <w:marLeft w:val="0"/>
                      <w:marRight w:val="0"/>
                      <w:marTop w:val="0"/>
                      <w:marBottom w:val="0"/>
                      <w:divBdr>
                        <w:top w:val="none" w:sz="0" w:space="0" w:color="auto"/>
                        <w:left w:val="none" w:sz="0" w:space="0" w:color="auto"/>
                        <w:bottom w:val="none" w:sz="0" w:space="0" w:color="auto"/>
                        <w:right w:val="none" w:sz="0" w:space="0" w:color="auto"/>
                      </w:divBdr>
                    </w:div>
                    <w:div w:id="854998294">
                      <w:marLeft w:val="0"/>
                      <w:marRight w:val="0"/>
                      <w:marTop w:val="0"/>
                      <w:marBottom w:val="0"/>
                      <w:divBdr>
                        <w:top w:val="none" w:sz="0" w:space="0" w:color="auto"/>
                        <w:left w:val="none" w:sz="0" w:space="0" w:color="auto"/>
                        <w:bottom w:val="none" w:sz="0" w:space="0" w:color="auto"/>
                        <w:right w:val="none" w:sz="0" w:space="0" w:color="auto"/>
                      </w:divBdr>
                    </w:div>
                  </w:divsChild>
                </w:div>
                <w:div w:id="413091680">
                  <w:marLeft w:val="0"/>
                  <w:marRight w:val="0"/>
                  <w:marTop w:val="0"/>
                  <w:marBottom w:val="0"/>
                  <w:divBdr>
                    <w:top w:val="none" w:sz="0" w:space="0" w:color="auto"/>
                    <w:left w:val="none" w:sz="0" w:space="0" w:color="auto"/>
                    <w:bottom w:val="none" w:sz="0" w:space="0" w:color="auto"/>
                    <w:right w:val="none" w:sz="0" w:space="0" w:color="auto"/>
                  </w:divBdr>
                  <w:divsChild>
                    <w:div w:id="675575076">
                      <w:marLeft w:val="0"/>
                      <w:marRight w:val="0"/>
                      <w:marTop w:val="0"/>
                      <w:marBottom w:val="0"/>
                      <w:divBdr>
                        <w:top w:val="none" w:sz="0" w:space="0" w:color="auto"/>
                        <w:left w:val="none" w:sz="0" w:space="0" w:color="auto"/>
                        <w:bottom w:val="none" w:sz="0" w:space="0" w:color="auto"/>
                        <w:right w:val="none" w:sz="0" w:space="0" w:color="auto"/>
                      </w:divBdr>
                    </w:div>
                  </w:divsChild>
                </w:div>
                <w:div w:id="2065324488">
                  <w:marLeft w:val="0"/>
                  <w:marRight w:val="0"/>
                  <w:marTop w:val="0"/>
                  <w:marBottom w:val="0"/>
                  <w:divBdr>
                    <w:top w:val="none" w:sz="0" w:space="0" w:color="auto"/>
                    <w:left w:val="none" w:sz="0" w:space="0" w:color="auto"/>
                    <w:bottom w:val="none" w:sz="0" w:space="0" w:color="auto"/>
                    <w:right w:val="none" w:sz="0" w:space="0" w:color="auto"/>
                  </w:divBdr>
                  <w:divsChild>
                    <w:div w:id="348915419">
                      <w:marLeft w:val="0"/>
                      <w:marRight w:val="0"/>
                      <w:marTop w:val="0"/>
                      <w:marBottom w:val="0"/>
                      <w:divBdr>
                        <w:top w:val="none" w:sz="0" w:space="0" w:color="auto"/>
                        <w:left w:val="none" w:sz="0" w:space="0" w:color="auto"/>
                        <w:bottom w:val="none" w:sz="0" w:space="0" w:color="auto"/>
                        <w:right w:val="none" w:sz="0" w:space="0" w:color="auto"/>
                      </w:divBdr>
                    </w:div>
                  </w:divsChild>
                </w:div>
                <w:div w:id="445007826">
                  <w:marLeft w:val="0"/>
                  <w:marRight w:val="0"/>
                  <w:marTop w:val="0"/>
                  <w:marBottom w:val="0"/>
                  <w:divBdr>
                    <w:top w:val="none" w:sz="0" w:space="0" w:color="auto"/>
                    <w:left w:val="none" w:sz="0" w:space="0" w:color="auto"/>
                    <w:bottom w:val="none" w:sz="0" w:space="0" w:color="auto"/>
                    <w:right w:val="none" w:sz="0" w:space="0" w:color="auto"/>
                  </w:divBdr>
                  <w:divsChild>
                    <w:div w:id="2054966148">
                      <w:marLeft w:val="0"/>
                      <w:marRight w:val="0"/>
                      <w:marTop w:val="0"/>
                      <w:marBottom w:val="0"/>
                      <w:divBdr>
                        <w:top w:val="none" w:sz="0" w:space="0" w:color="auto"/>
                        <w:left w:val="none" w:sz="0" w:space="0" w:color="auto"/>
                        <w:bottom w:val="none" w:sz="0" w:space="0" w:color="auto"/>
                        <w:right w:val="none" w:sz="0" w:space="0" w:color="auto"/>
                      </w:divBdr>
                    </w:div>
                  </w:divsChild>
                </w:div>
                <w:div w:id="660163845">
                  <w:marLeft w:val="0"/>
                  <w:marRight w:val="0"/>
                  <w:marTop w:val="0"/>
                  <w:marBottom w:val="0"/>
                  <w:divBdr>
                    <w:top w:val="none" w:sz="0" w:space="0" w:color="auto"/>
                    <w:left w:val="none" w:sz="0" w:space="0" w:color="auto"/>
                    <w:bottom w:val="none" w:sz="0" w:space="0" w:color="auto"/>
                    <w:right w:val="none" w:sz="0" w:space="0" w:color="auto"/>
                  </w:divBdr>
                  <w:divsChild>
                    <w:div w:id="1890341004">
                      <w:marLeft w:val="0"/>
                      <w:marRight w:val="0"/>
                      <w:marTop w:val="0"/>
                      <w:marBottom w:val="0"/>
                      <w:divBdr>
                        <w:top w:val="none" w:sz="0" w:space="0" w:color="auto"/>
                        <w:left w:val="none" w:sz="0" w:space="0" w:color="auto"/>
                        <w:bottom w:val="none" w:sz="0" w:space="0" w:color="auto"/>
                        <w:right w:val="none" w:sz="0" w:space="0" w:color="auto"/>
                      </w:divBdr>
                    </w:div>
                  </w:divsChild>
                </w:div>
                <w:div w:id="1425489273">
                  <w:marLeft w:val="0"/>
                  <w:marRight w:val="0"/>
                  <w:marTop w:val="0"/>
                  <w:marBottom w:val="0"/>
                  <w:divBdr>
                    <w:top w:val="none" w:sz="0" w:space="0" w:color="auto"/>
                    <w:left w:val="none" w:sz="0" w:space="0" w:color="auto"/>
                    <w:bottom w:val="none" w:sz="0" w:space="0" w:color="auto"/>
                    <w:right w:val="none" w:sz="0" w:space="0" w:color="auto"/>
                  </w:divBdr>
                  <w:divsChild>
                    <w:div w:id="1734157700">
                      <w:marLeft w:val="0"/>
                      <w:marRight w:val="0"/>
                      <w:marTop w:val="0"/>
                      <w:marBottom w:val="0"/>
                      <w:divBdr>
                        <w:top w:val="none" w:sz="0" w:space="0" w:color="auto"/>
                        <w:left w:val="none" w:sz="0" w:space="0" w:color="auto"/>
                        <w:bottom w:val="none" w:sz="0" w:space="0" w:color="auto"/>
                        <w:right w:val="none" w:sz="0" w:space="0" w:color="auto"/>
                      </w:divBdr>
                    </w:div>
                  </w:divsChild>
                </w:div>
                <w:div w:id="752170111">
                  <w:marLeft w:val="0"/>
                  <w:marRight w:val="0"/>
                  <w:marTop w:val="0"/>
                  <w:marBottom w:val="0"/>
                  <w:divBdr>
                    <w:top w:val="none" w:sz="0" w:space="0" w:color="auto"/>
                    <w:left w:val="none" w:sz="0" w:space="0" w:color="auto"/>
                    <w:bottom w:val="none" w:sz="0" w:space="0" w:color="auto"/>
                    <w:right w:val="none" w:sz="0" w:space="0" w:color="auto"/>
                  </w:divBdr>
                  <w:divsChild>
                    <w:div w:id="1432818220">
                      <w:marLeft w:val="0"/>
                      <w:marRight w:val="0"/>
                      <w:marTop w:val="0"/>
                      <w:marBottom w:val="0"/>
                      <w:divBdr>
                        <w:top w:val="none" w:sz="0" w:space="0" w:color="auto"/>
                        <w:left w:val="none" w:sz="0" w:space="0" w:color="auto"/>
                        <w:bottom w:val="none" w:sz="0" w:space="0" w:color="auto"/>
                        <w:right w:val="none" w:sz="0" w:space="0" w:color="auto"/>
                      </w:divBdr>
                    </w:div>
                  </w:divsChild>
                </w:div>
                <w:div w:id="712071782">
                  <w:marLeft w:val="0"/>
                  <w:marRight w:val="0"/>
                  <w:marTop w:val="0"/>
                  <w:marBottom w:val="0"/>
                  <w:divBdr>
                    <w:top w:val="none" w:sz="0" w:space="0" w:color="auto"/>
                    <w:left w:val="none" w:sz="0" w:space="0" w:color="auto"/>
                    <w:bottom w:val="none" w:sz="0" w:space="0" w:color="auto"/>
                    <w:right w:val="none" w:sz="0" w:space="0" w:color="auto"/>
                  </w:divBdr>
                  <w:divsChild>
                    <w:div w:id="145630018">
                      <w:marLeft w:val="0"/>
                      <w:marRight w:val="0"/>
                      <w:marTop w:val="0"/>
                      <w:marBottom w:val="0"/>
                      <w:divBdr>
                        <w:top w:val="none" w:sz="0" w:space="0" w:color="auto"/>
                        <w:left w:val="none" w:sz="0" w:space="0" w:color="auto"/>
                        <w:bottom w:val="none" w:sz="0" w:space="0" w:color="auto"/>
                        <w:right w:val="none" w:sz="0" w:space="0" w:color="auto"/>
                      </w:divBdr>
                    </w:div>
                  </w:divsChild>
                </w:div>
                <w:div w:id="1865288323">
                  <w:marLeft w:val="0"/>
                  <w:marRight w:val="0"/>
                  <w:marTop w:val="0"/>
                  <w:marBottom w:val="0"/>
                  <w:divBdr>
                    <w:top w:val="none" w:sz="0" w:space="0" w:color="auto"/>
                    <w:left w:val="none" w:sz="0" w:space="0" w:color="auto"/>
                    <w:bottom w:val="none" w:sz="0" w:space="0" w:color="auto"/>
                    <w:right w:val="none" w:sz="0" w:space="0" w:color="auto"/>
                  </w:divBdr>
                  <w:divsChild>
                    <w:div w:id="384839479">
                      <w:marLeft w:val="0"/>
                      <w:marRight w:val="0"/>
                      <w:marTop w:val="0"/>
                      <w:marBottom w:val="0"/>
                      <w:divBdr>
                        <w:top w:val="none" w:sz="0" w:space="0" w:color="auto"/>
                        <w:left w:val="none" w:sz="0" w:space="0" w:color="auto"/>
                        <w:bottom w:val="none" w:sz="0" w:space="0" w:color="auto"/>
                        <w:right w:val="none" w:sz="0" w:space="0" w:color="auto"/>
                      </w:divBdr>
                    </w:div>
                  </w:divsChild>
                </w:div>
                <w:div w:id="791247604">
                  <w:marLeft w:val="0"/>
                  <w:marRight w:val="0"/>
                  <w:marTop w:val="0"/>
                  <w:marBottom w:val="0"/>
                  <w:divBdr>
                    <w:top w:val="none" w:sz="0" w:space="0" w:color="auto"/>
                    <w:left w:val="none" w:sz="0" w:space="0" w:color="auto"/>
                    <w:bottom w:val="none" w:sz="0" w:space="0" w:color="auto"/>
                    <w:right w:val="none" w:sz="0" w:space="0" w:color="auto"/>
                  </w:divBdr>
                  <w:divsChild>
                    <w:div w:id="1074477318">
                      <w:marLeft w:val="0"/>
                      <w:marRight w:val="0"/>
                      <w:marTop w:val="0"/>
                      <w:marBottom w:val="0"/>
                      <w:divBdr>
                        <w:top w:val="none" w:sz="0" w:space="0" w:color="auto"/>
                        <w:left w:val="none" w:sz="0" w:space="0" w:color="auto"/>
                        <w:bottom w:val="none" w:sz="0" w:space="0" w:color="auto"/>
                        <w:right w:val="none" w:sz="0" w:space="0" w:color="auto"/>
                      </w:divBdr>
                    </w:div>
                  </w:divsChild>
                </w:div>
                <w:div w:id="362286242">
                  <w:marLeft w:val="0"/>
                  <w:marRight w:val="0"/>
                  <w:marTop w:val="0"/>
                  <w:marBottom w:val="0"/>
                  <w:divBdr>
                    <w:top w:val="none" w:sz="0" w:space="0" w:color="auto"/>
                    <w:left w:val="none" w:sz="0" w:space="0" w:color="auto"/>
                    <w:bottom w:val="none" w:sz="0" w:space="0" w:color="auto"/>
                    <w:right w:val="none" w:sz="0" w:space="0" w:color="auto"/>
                  </w:divBdr>
                  <w:divsChild>
                    <w:div w:id="356657896">
                      <w:marLeft w:val="0"/>
                      <w:marRight w:val="0"/>
                      <w:marTop w:val="0"/>
                      <w:marBottom w:val="0"/>
                      <w:divBdr>
                        <w:top w:val="none" w:sz="0" w:space="0" w:color="auto"/>
                        <w:left w:val="none" w:sz="0" w:space="0" w:color="auto"/>
                        <w:bottom w:val="none" w:sz="0" w:space="0" w:color="auto"/>
                        <w:right w:val="none" w:sz="0" w:space="0" w:color="auto"/>
                      </w:divBdr>
                    </w:div>
                  </w:divsChild>
                </w:div>
                <w:div w:id="136845139">
                  <w:marLeft w:val="0"/>
                  <w:marRight w:val="0"/>
                  <w:marTop w:val="0"/>
                  <w:marBottom w:val="0"/>
                  <w:divBdr>
                    <w:top w:val="none" w:sz="0" w:space="0" w:color="auto"/>
                    <w:left w:val="none" w:sz="0" w:space="0" w:color="auto"/>
                    <w:bottom w:val="none" w:sz="0" w:space="0" w:color="auto"/>
                    <w:right w:val="none" w:sz="0" w:space="0" w:color="auto"/>
                  </w:divBdr>
                  <w:divsChild>
                    <w:div w:id="673343182">
                      <w:marLeft w:val="0"/>
                      <w:marRight w:val="0"/>
                      <w:marTop w:val="0"/>
                      <w:marBottom w:val="0"/>
                      <w:divBdr>
                        <w:top w:val="none" w:sz="0" w:space="0" w:color="auto"/>
                        <w:left w:val="none" w:sz="0" w:space="0" w:color="auto"/>
                        <w:bottom w:val="none" w:sz="0" w:space="0" w:color="auto"/>
                        <w:right w:val="none" w:sz="0" w:space="0" w:color="auto"/>
                      </w:divBdr>
                    </w:div>
                  </w:divsChild>
                </w:div>
                <w:div w:id="1387220193">
                  <w:marLeft w:val="0"/>
                  <w:marRight w:val="0"/>
                  <w:marTop w:val="0"/>
                  <w:marBottom w:val="0"/>
                  <w:divBdr>
                    <w:top w:val="none" w:sz="0" w:space="0" w:color="auto"/>
                    <w:left w:val="none" w:sz="0" w:space="0" w:color="auto"/>
                    <w:bottom w:val="none" w:sz="0" w:space="0" w:color="auto"/>
                    <w:right w:val="none" w:sz="0" w:space="0" w:color="auto"/>
                  </w:divBdr>
                  <w:divsChild>
                    <w:div w:id="149966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52614">
          <w:marLeft w:val="0"/>
          <w:marRight w:val="0"/>
          <w:marTop w:val="0"/>
          <w:marBottom w:val="0"/>
          <w:divBdr>
            <w:top w:val="none" w:sz="0" w:space="0" w:color="auto"/>
            <w:left w:val="none" w:sz="0" w:space="0" w:color="auto"/>
            <w:bottom w:val="none" w:sz="0" w:space="0" w:color="auto"/>
            <w:right w:val="none" w:sz="0" w:space="0" w:color="auto"/>
          </w:divBdr>
        </w:div>
        <w:div w:id="651328394">
          <w:marLeft w:val="0"/>
          <w:marRight w:val="0"/>
          <w:marTop w:val="0"/>
          <w:marBottom w:val="0"/>
          <w:divBdr>
            <w:top w:val="none" w:sz="0" w:space="0" w:color="auto"/>
            <w:left w:val="none" w:sz="0" w:space="0" w:color="auto"/>
            <w:bottom w:val="none" w:sz="0" w:space="0" w:color="auto"/>
            <w:right w:val="none" w:sz="0" w:space="0" w:color="auto"/>
          </w:divBdr>
        </w:div>
        <w:div w:id="252016507">
          <w:marLeft w:val="0"/>
          <w:marRight w:val="0"/>
          <w:marTop w:val="0"/>
          <w:marBottom w:val="0"/>
          <w:divBdr>
            <w:top w:val="none" w:sz="0" w:space="0" w:color="auto"/>
            <w:left w:val="none" w:sz="0" w:space="0" w:color="auto"/>
            <w:bottom w:val="none" w:sz="0" w:space="0" w:color="auto"/>
            <w:right w:val="none" w:sz="0" w:space="0" w:color="auto"/>
          </w:divBdr>
        </w:div>
        <w:div w:id="1119032627">
          <w:marLeft w:val="0"/>
          <w:marRight w:val="0"/>
          <w:marTop w:val="0"/>
          <w:marBottom w:val="0"/>
          <w:divBdr>
            <w:top w:val="none" w:sz="0" w:space="0" w:color="auto"/>
            <w:left w:val="none" w:sz="0" w:space="0" w:color="auto"/>
            <w:bottom w:val="none" w:sz="0" w:space="0" w:color="auto"/>
            <w:right w:val="none" w:sz="0" w:space="0" w:color="auto"/>
          </w:divBdr>
        </w:div>
        <w:div w:id="1460996432">
          <w:marLeft w:val="0"/>
          <w:marRight w:val="0"/>
          <w:marTop w:val="0"/>
          <w:marBottom w:val="0"/>
          <w:divBdr>
            <w:top w:val="none" w:sz="0" w:space="0" w:color="auto"/>
            <w:left w:val="none" w:sz="0" w:space="0" w:color="auto"/>
            <w:bottom w:val="none" w:sz="0" w:space="0" w:color="auto"/>
            <w:right w:val="none" w:sz="0" w:space="0" w:color="auto"/>
          </w:divBdr>
          <w:divsChild>
            <w:div w:id="1251502753">
              <w:marLeft w:val="-75"/>
              <w:marRight w:val="0"/>
              <w:marTop w:val="30"/>
              <w:marBottom w:val="30"/>
              <w:divBdr>
                <w:top w:val="none" w:sz="0" w:space="0" w:color="auto"/>
                <w:left w:val="none" w:sz="0" w:space="0" w:color="auto"/>
                <w:bottom w:val="none" w:sz="0" w:space="0" w:color="auto"/>
                <w:right w:val="none" w:sz="0" w:space="0" w:color="auto"/>
              </w:divBdr>
              <w:divsChild>
                <w:div w:id="1373069526">
                  <w:marLeft w:val="0"/>
                  <w:marRight w:val="0"/>
                  <w:marTop w:val="0"/>
                  <w:marBottom w:val="0"/>
                  <w:divBdr>
                    <w:top w:val="none" w:sz="0" w:space="0" w:color="auto"/>
                    <w:left w:val="none" w:sz="0" w:space="0" w:color="auto"/>
                    <w:bottom w:val="none" w:sz="0" w:space="0" w:color="auto"/>
                    <w:right w:val="none" w:sz="0" w:space="0" w:color="auto"/>
                  </w:divBdr>
                  <w:divsChild>
                    <w:div w:id="1589315870">
                      <w:marLeft w:val="0"/>
                      <w:marRight w:val="0"/>
                      <w:marTop w:val="0"/>
                      <w:marBottom w:val="0"/>
                      <w:divBdr>
                        <w:top w:val="none" w:sz="0" w:space="0" w:color="auto"/>
                        <w:left w:val="none" w:sz="0" w:space="0" w:color="auto"/>
                        <w:bottom w:val="none" w:sz="0" w:space="0" w:color="auto"/>
                        <w:right w:val="none" w:sz="0" w:space="0" w:color="auto"/>
                      </w:divBdr>
                    </w:div>
                  </w:divsChild>
                </w:div>
                <w:div w:id="456996598">
                  <w:marLeft w:val="0"/>
                  <w:marRight w:val="0"/>
                  <w:marTop w:val="0"/>
                  <w:marBottom w:val="0"/>
                  <w:divBdr>
                    <w:top w:val="none" w:sz="0" w:space="0" w:color="auto"/>
                    <w:left w:val="none" w:sz="0" w:space="0" w:color="auto"/>
                    <w:bottom w:val="none" w:sz="0" w:space="0" w:color="auto"/>
                    <w:right w:val="none" w:sz="0" w:space="0" w:color="auto"/>
                  </w:divBdr>
                  <w:divsChild>
                    <w:div w:id="187526122">
                      <w:marLeft w:val="0"/>
                      <w:marRight w:val="0"/>
                      <w:marTop w:val="0"/>
                      <w:marBottom w:val="0"/>
                      <w:divBdr>
                        <w:top w:val="none" w:sz="0" w:space="0" w:color="auto"/>
                        <w:left w:val="none" w:sz="0" w:space="0" w:color="auto"/>
                        <w:bottom w:val="none" w:sz="0" w:space="0" w:color="auto"/>
                        <w:right w:val="none" w:sz="0" w:space="0" w:color="auto"/>
                      </w:divBdr>
                    </w:div>
                  </w:divsChild>
                </w:div>
                <w:div w:id="2011983727">
                  <w:marLeft w:val="0"/>
                  <w:marRight w:val="0"/>
                  <w:marTop w:val="0"/>
                  <w:marBottom w:val="0"/>
                  <w:divBdr>
                    <w:top w:val="none" w:sz="0" w:space="0" w:color="auto"/>
                    <w:left w:val="none" w:sz="0" w:space="0" w:color="auto"/>
                    <w:bottom w:val="none" w:sz="0" w:space="0" w:color="auto"/>
                    <w:right w:val="none" w:sz="0" w:space="0" w:color="auto"/>
                  </w:divBdr>
                  <w:divsChild>
                    <w:div w:id="107048732">
                      <w:marLeft w:val="0"/>
                      <w:marRight w:val="0"/>
                      <w:marTop w:val="0"/>
                      <w:marBottom w:val="0"/>
                      <w:divBdr>
                        <w:top w:val="none" w:sz="0" w:space="0" w:color="auto"/>
                        <w:left w:val="none" w:sz="0" w:space="0" w:color="auto"/>
                        <w:bottom w:val="none" w:sz="0" w:space="0" w:color="auto"/>
                        <w:right w:val="none" w:sz="0" w:space="0" w:color="auto"/>
                      </w:divBdr>
                    </w:div>
                    <w:div w:id="462046579">
                      <w:marLeft w:val="0"/>
                      <w:marRight w:val="0"/>
                      <w:marTop w:val="0"/>
                      <w:marBottom w:val="0"/>
                      <w:divBdr>
                        <w:top w:val="none" w:sz="0" w:space="0" w:color="auto"/>
                        <w:left w:val="none" w:sz="0" w:space="0" w:color="auto"/>
                        <w:bottom w:val="none" w:sz="0" w:space="0" w:color="auto"/>
                        <w:right w:val="none" w:sz="0" w:space="0" w:color="auto"/>
                      </w:divBdr>
                    </w:div>
                  </w:divsChild>
                </w:div>
                <w:div w:id="1978485862">
                  <w:marLeft w:val="0"/>
                  <w:marRight w:val="0"/>
                  <w:marTop w:val="0"/>
                  <w:marBottom w:val="0"/>
                  <w:divBdr>
                    <w:top w:val="none" w:sz="0" w:space="0" w:color="auto"/>
                    <w:left w:val="none" w:sz="0" w:space="0" w:color="auto"/>
                    <w:bottom w:val="none" w:sz="0" w:space="0" w:color="auto"/>
                    <w:right w:val="none" w:sz="0" w:space="0" w:color="auto"/>
                  </w:divBdr>
                  <w:divsChild>
                    <w:div w:id="244807698">
                      <w:marLeft w:val="0"/>
                      <w:marRight w:val="0"/>
                      <w:marTop w:val="0"/>
                      <w:marBottom w:val="0"/>
                      <w:divBdr>
                        <w:top w:val="none" w:sz="0" w:space="0" w:color="auto"/>
                        <w:left w:val="none" w:sz="0" w:space="0" w:color="auto"/>
                        <w:bottom w:val="none" w:sz="0" w:space="0" w:color="auto"/>
                        <w:right w:val="none" w:sz="0" w:space="0" w:color="auto"/>
                      </w:divBdr>
                    </w:div>
                  </w:divsChild>
                </w:div>
                <w:div w:id="922563807">
                  <w:marLeft w:val="0"/>
                  <w:marRight w:val="0"/>
                  <w:marTop w:val="0"/>
                  <w:marBottom w:val="0"/>
                  <w:divBdr>
                    <w:top w:val="none" w:sz="0" w:space="0" w:color="auto"/>
                    <w:left w:val="none" w:sz="0" w:space="0" w:color="auto"/>
                    <w:bottom w:val="none" w:sz="0" w:space="0" w:color="auto"/>
                    <w:right w:val="none" w:sz="0" w:space="0" w:color="auto"/>
                  </w:divBdr>
                  <w:divsChild>
                    <w:div w:id="249242664">
                      <w:marLeft w:val="0"/>
                      <w:marRight w:val="0"/>
                      <w:marTop w:val="0"/>
                      <w:marBottom w:val="0"/>
                      <w:divBdr>
                        <w:top w:val="none" w:sz="0" w:space="0" w:color="auto"/>
                        <w:left w:val="none" w:sz="0" w:space="0" w:color="auto"/>
                        <w:bottom w:val="none" w:sz="0" w:space="0" w:color="auto"/>
                        <w:right w:val="none" w:sz="0" w:space="0" w:color="auto"/>
                      </w:divBdr>
                    </w:div>
                  </w:divsChild>
                </w:div>
                <w:div w:id="1665158550">
                  <w:marLeft w:val="0"/>
                  <w:marRight w:val="0"/>
                  <w:marTop w:val="0"/>
                  <w:marBottom w:val="0"/>
                  <w:divBdr>
                    <w:top w:val="none" w:sz="0" w:space="0" w:color="auto"/>
                    <w:left w:val="none" w:sz="0" w:space="0" w:color="auto"/>
                    <w:bottom w:val="none" w:sz="0" w:space="0" w:color="auto"/>
                    <w:right w:val="none" w:sz="0" w:space="0" w:color="auto"/>
                  </w:divBdr>
                  <w:divsChild>
                    <w:div w:id="1689522266">
                      <w:marLeft w:val="0"/>
                      <w:marRight w:val="0"/>
                      <w:marTop w:val="0"/>
                      <w:marBottom w:val="0"/>
                      <w:divBdr>
                        <w:top w:val="none" w:sz="0" w:space="0" w:color="auto"/>
                        <w:left w:val="none" w:sz="0" w:space="0" w:color="auto"/>
                        <w:bottom w:val="none" w:sz="0" w:space="0" w:color="auto"/>
                        <w:right w:val="none" w:sz="0" w:space="0" w:color="auto"/>
                      </w:divBdr>
                    </w:div>
                  </w:divsChild>
                </w:div>
                <w:div w:id="1366058375">
                  <w:marLeft w:val="0"/>
                  <w:marRight w:val="0"/>
                  <w:marTop w:val="0"/>
                  <w:marBottom w:val="0"/>
                  <w:divBdr>
                    <w:top w:val="none" w:sz="0" w:space="0" w:color="auto"/>
                    <w:left w:val="none" w:sz="0" w:space="0" w:color="auto"/>
                    <w:bottom w:val="none" w:sz="0" w:space="0" w:color="auto"/>
                    <w:right w:val="none" w:sz="0" w:space="0" w:color="auto"/>
                  </w:divBdr>
                  <w:divsChild>
                    <w:div w:id="469828834">
                      <w:marLeft w:val="0"/>
                      <w:marRight w:val="0"/>
                      <w:marTop w:val="0"/>
                      <w:marBottom w:val="0"/>
                      <w:divBdr>
                        <w:top w:val="none" w:sz="0" w:space="0" w:color="auto"/>
                        <w:left w:val="none" w:sz="0" w:space="0" w:color="auto"/>
                        <w:bottom w:val="none" w:sz="0" w:space="0" w:color="auto"/>
                        <w:right w:val="none" w:sz="0" w:space="0" w:color="auto"/>
                      </w:divBdr>
                    </w:div>
                  </w:divsChild>
                </w:div>
                <w:div w:id="492650410">
                  <w:marLeft w:val="0"/>
                  <w:marRight w:val="0"/>
                  <w:marTop w:val="0"/>
                  <w:marBottom w:val="0"/>
                  <w:divBdr>
                    <w:top w:val="none" w:sz="0" w:space="0" w:color="auto"/>
                    <w:left w:val="none" w:sz="0" w:space="0" w:color="auto"/>
                    <w:bottom w:val="none" w:sz="0" w:space="0" w:color="auto"/>
                    <w:right w:val="none" w:sz="0" w:space="0" w:color="auto"/>
                  </w:divBdr>
                  <w:divsChild>
                    <w:div w:id="519977665">
                      <w:marLeft w:val="0"/>
                      <w:marRight w:val="0"/>
                      <w:marTop w:val="0"/>
                      <w:marBottom w:val="0"/>
                      <w:divBdr>
                        <w:top w:val="none" w:sz="0" w:space="0" w:color="auto"/>
                        <w:left w:val="none" w:sz="0" w:space="0" w:color="auto"/>
                        <w:bottom w:val="none" w:sz="0" w:space="0" w:color="auto"/>
                        <w:right w:val="none" w:sz="0" w:space="0" w:color="auto"/>
                      </w:divBdr>
                    </w:div>
                  </w:divsChild>
                </w:div>
                <w:div w:id="1866091488">
                  <w:marLeft w:val="0"/>
                  <w:marRight w:val="0"/>
                  <w:marTop w:val="0"/>
                  <w:marBottom w:val="0"/>
                  <w:divBdr>
                    <w:top w:val="none" w:sz="0" w:space="0" w:color="auto"/>
                    <w:left w:val="none" w:sz="0" w:space="0" w:color="auto"/>
                    <w:bottom w:val="none" w:sz="0" w:space="0" w:color="auto"/>
                    <w:right w:val="none" w:sz="0" w:space="0" w:color="auto"/>
                  </w:divBdr>
                  <w:divsChild>
                    <w:div w:id="1975287443">
                      <w:marLeft w:val="0"/>
                      <w:marRight w:val="0"/>
                      <w:marTop w:val="0"/>
                      <w:marBottom w:val="0"/>
                      <w:divBdr>
                        <w:top w:val="none" w:sz="0" w:space="0" w:color="auto"/>
                        <w:left w:val="none" w:sz="0" w:space="0" w:color="auto"/>
                        <w:bottom w:val="none" w:sz="0" w:space="0" w:color="auto"/>
                        <w:right w:val="none" w:sz="0" w:space="0" w:color="auto"/>
                      </w:divBdr>
                    </w:div>
                  </w:divsChild>
                </w:div>
                <w:div w:id="1298606754">
                  <w:marLeft w:val="0"/>
                  <w:marRight w:val="0"/>
                  <w:marTop w:val="0"/>
                  <w:marBottom w:val="0"/>
                  <w:divBdr>
                    <w:top w:val="none" w:sz="0" w:space="0" w:color="auto"/>
                    <w:left w:val="none" w:sz="0" w:space="0" w:color="auto"/>
                    <w:bottom w:val="none" w:sz="0" w:space="0" w:color="auto"/>
                    <w:right w:val="none" w:sz="0" w:space="0" w:color="auto"/>
                  </w:divBdr>
                  <w:divsChild>
                    <w:div w:id="1624531229">
                      <w:marLeft w:val="0"/>
                      <w:marRight w:val="0"/>
                      <w:marTop w:val="0"/>
                      <w:marBottom w:val="0"/>
                      <w:divBdr>
                        <w:top w:val="none" w:sz="0" w:space="0" w:color="auto"/>
                        <w:left w:val="none" w:sz="0" w:space="0" w:color="auto"/>
                        <w:bottom w:val="none" w:sz="0" w:space="0" w:color="auto"/>
                        <w:right w:val="none" w:sz="0" w:space="0" w:color="auto"/>
                      </w:divBdr>
                    </w:div>
                  </w:divsChild>
                </w:div>
                <w:div w:id="571813348">
                  <w:marLeft w:val="0"/>
                  <w:marRight w:val="0"/>
                  <w:marTop w:val="0"/>
                  <w:marBottom w:val="0"/>
                  <w:divBdr>
                    <w:top w:val="none" w:sz="0" w:space="0" w:color="auto"/>
                    <w:left w:val="none" w:sz="0" w:space="0" w:color="auto"/>
                    <w:bottom w:val="none" w:sz="0" w:space="0" w:color="auto"/>
                    <w:right w:val="none" w:sz="0" w:space="0" w:color="auto"/>
                  </w:divBdr>
                  <w:divsChild>
                    <w:div w:id="559511778">
                      <w:marLeft w:val="0"/>
                      <w:marRight w:val="0"/>
                      <w:marTop w:val="0"/>
                      <w:marBottom w:val="0"/>
                      <w:divBdr>
                        <w:top w:val="none" w:sz="0" w:space="0" w:color="auto"/>
                        <w:left w:val="none" w:sz="0" w:space="0" w:color="auto"/>
                        <w:bottom w:val="none" w:sz="0" w:space="0" w:color="auto"/>
                        <w:right w:val="none" w:sz="0" w:space="0" w:color="auto"/>
                      </w:divBdr>
                    </w:div>
                  </w:divsChild>
                </w:div>
                <w:div w:id="1023480234">
                  <w:marLeft w:val="0"/>
                  <w:marRight w:val="0"/>
                  <w:marTop w:val="0"/>
                  <w:marBottom w:val="0"/>
                  <w:divBdr>
                    <w:top w:val="none" w:sz="0" w:space="0" w:color="auto"/>
                    <w:left w:val="none" w:sz="0" w:space="0" w:color="auto"/>
                    <w:bottom w:val="none" w:sz="0" w:space="0" w:color="auto"/>
                    <w:right w:val="none" w:sz="0" w:space="0" w:color="auto"/>
                  </w:divBdr>
                  <w:divsChild>
                    <w:div w:id="218905609">
                      <w:marLeft w:val="0"/>
                      <w:marRight w:val="0"/>
                      <w:marTop w:val="0"/>
                      <w:marBottom w:val="0"/>
                      <w:divBdr>
                        <w:top w:val="none" w:sz="0" w:space="0" w:color="auto"/>
                        <w:left w:val="none" w:sz="0" w:space="0" w:color="auto"/>
                        <w:bottom w:val="none" w:sz="0" w:space="0" w:color="auto"/>
                        <w:right w:val="none" w:sz="0" w:space="0" w:color="auto"/>
                      </w:divBdr>
                    </w:div>
                  </w:divsChild>
                </w:div>
                <w:div w:id="191234097">
                  <w:marLeft w:val="0"/>
                  <w:marRight w:val="0"/>
                  <w:marTop w:val="0"/>
                  <w:marBottom w:val="0"/>
                  <w:divBdr>
                    <w:top w:val="none" w:sz="0" w:space="0" w:color="auto"/>
                    <w:left w:val="none" w:sz="0" w:space="0" w:color="auto"/>
                    <w:bottom w:val="none" w:sz="0" w:space="0" w:color="auto"/>
                    <w:right w:val="none" w:sz="0" w:space="0" w:color="auto"/>
                  </w:divBdr>
                  <w:divsChild>
                    <w:div w:id="1031145296">
                      <w:marLeft w:val="0"/>
                      <w:marRight w:val="0"/>
                      <w:marTop w:val="0"/>
                      <w:marBottom w:val="0"/>
                      <w:divBdr>
                        <w:top w:val="none" w:sz="0" w:space="0" w:color="auto"/>
                        <w:left w:val="none" w:sz="0" w:space="0" w:color="auto"/>
                        <w:bottom w:val="none" w:sz="0" w:space="0" w:color="auto"/>
                        <w:right w:val="none" w:sz="0" w:space="0" w:color="auto"/>
                      </w:divBdr>
                    </w:div>
                  </w:divsChild>
                </w:div>
                <w:div w:id="1057898495">
                  <w:marLeft w:val="0"/>
                  <w:marRight w:val="0"/>
                  <w:marTop w:val="0"/>
                  <w:marBottom w:val="0"/>
                  <w:divBdr>
                    <w:top w:val="none" w:sz="0" w:space="0" w:color="auto"/>
                    <w:left w:val="none" w:sz="0" w:space="0" w:color="auto"/>
                    <w:bottom w:val="none" w:sz="0" w:space="0" w:color="auto"/>
                    <w:right w:val="none" w:sz="0" w:space="0" w:color="auto"/>
                  </w:divBdr>
                  <w:divsChild>
                    <w:div w:id="1892646409">
                      <w:marLeft w:val="0"/>
                      <w:marRight w:val="0"/>
                      <w:marTop w:val="0"/>
                      <w:marBottom w:val="0"/>
                      <w:divBdr>
                        <w:top w:val="none" w:sz="0" w:space="0" w:color="auto"/>
                        <w:left w:val="none" w:sz="0" w:space="0" w:color="auto"/>
                        <w:bottom w:val="none" w:sz="0" w:space="0" w:color="auto"/>
                        <w:right w:val="none" w:sz="0" w:space="0" w:color="auto"/>
                      </w:divBdr>
                    </w:div>
                  </w:divsChild>
                </w:div>
                <w:div w:id="56710087">
                  <w:marLeft w:val="0"/>
                  <w:marRight w:val="0"/>
                  <w:marTop w:val="0"/>
                  <w:marBottom w:val="0"/>
                  <w:divBdr>
                    <w:top w:val="none" w:sz="0" w:space="0" w:color="auto"/>
                    <w:left w:val="none" w:sz="0" w:space="0" w:color="auto"/>
                    <w:bottom w:val="none" w:sz="0" w:space="0" w:color="auto"/>
                    <w:right w:val="none" w:sz="0" w:space="0" w:color="auto"/>
                  </w:divBdr>
                  <w:divsChild>
                    <w:div w:id="1054741172">
                      <w:marLeft w:val="0"/>
                      <w:marRight w:val="0"/>
                      <w:marTop w:val="0"/>
                      <w:marBottom w:val="0"/>
                      <w:divBdr>
                        <w:top w:val="none" w:sz="0" w:space="0" w:color="auto"/>
                        <w:left w:val="none" w:sz="0" w:space="0" w:color="auto"/>
                        <w:bottom w:val="none" w:sz="0" w:space="0" w:color="auto"/>
                        <w:right w:val="none" w:sz="0" w:space="0" w:color="auto"/>
                      </w:divBdr>
                    </w:div>
                  </w:divsChild>
                </w:div>
                <w:div w:id="1786805812">
                  <w:marLeft w:val="0"/>
                  <w:marRight w:val="0"/>
                  <w:marTop w:val="0"/>
                  <w:marBottom w:val="0"/>
                  <w:divBdr>
                    <w:top w:val="none" w:sz="0" w:space="0" w:color="auto"/>
                    <w:left w:val="none" w:sz="0" w:space="0" w:color="auto"/>
                    <w:bottom w:val="none" w:sz="0" w:space="0" w:color="auto"/>
                    <w:right w:val="none" w:sz="0" w:space="0" w:color="auto"/>
                  </w:divBdr>
                  <w:divsChild>
                    <w:div w:id="233006957">
                      <w:marLeft w:val="0"/>
                      <w:marRight w:val="0"/>
                      <w:marTop w:val="0"/>
                      <w:marBottom w:val="0"/>
                      <w:divBdr>
                        <w:top w:val="none" w:sz="0" w:space="0" w:color="auto"/>
                        <w:left w:val="none" w:sz="0" w:space="0" w:color="auto"/>
                        <w:bottom w:val="none" w:sz="0" w:space="0" w:color="auto"/>
                        <w:right w:val="none" w:sz="0" w:space="0" w:color="auto"/>
                      </w:divBdr>
                    </w:div>
                  </w:divsChild>
                </w:div>
                <w:div w:id="16660762">
                  <w:marLeft w:val="0"/>
                  <w:marRight w:val="0"/>
                  <w:marTop w:val="0"/>
                  <w:marBottom w:val="0"/>
                  <w:divBdr>
                    <w:top w:val="none" w:sz="0" w:space="0" w:color="auto"/>
                    <w:left w:val="none" w:sz="0" w:space="0" w:color="auto"/>
                    <w:bottom w:val="none" w:sz="0" w:space="0" w:color="auto"/>
                    <w:right w:val="none" w:sz="0" w:space="0" w:color="auto"/>
                  </w:divBdr>
                  <w:divsChild>
                    <w:div w:id="881862222">
                      <w:marLeft w:val="0"/>
                      <w:marRight w:val="0"/>
                      <w:marTop w:val="0"/>
                      <w:marBottom w:val="0"/>
                      <w:divBdr>
                        <w:top w:val="none" w:sz="0" w:space="0" w:color="auto"/>
                        <w:left w:val="none" w:sz="0" w:space="0" w:color="auto"/>
                        <w:bottom w:val="none" w:sz="0" w:space="0" w:color="auto"/>
                        <w:right w:val="none" w:sz="0" w:space="0" w:color="auto"/>
                      </w:divBdr>
                    </w:div>
                  </w:divsChild>
                </w:div>
                <w:div w:id="1414163104">
                  <w:marLeft w:val="0"/>
                  <w:marRight w:val="0"/>
                  <w:marTop w:val="0"/>
                  <w:marBottom w:val="0"/>
                  <w:divBdr>
                    <w:top w:val="none" w:sz="0" w:space="0" w:color="auto"/>
                    <w:left w:val="none" w:sz="0" w:space="0" w:color="auto"/>
                    <w:bottom w:val="none" w:sz="0" w:space="0" w:color="auto"/>
                    <w:right w:val="none" w:sz="0" w:space="0" w:color="auto"/>
                  </w:divBdr>
                  <w:divsChild>
                    <w:div w:id="549192356">
                      <w:marLeft w:val="0"/>
                      <w:marRight w:val="0"/>
                      <w:marTop w:val="0"/>
                      <w:marBottom w:val="0"/>
                      <w:divBdr>
                        <w:top w:val="none" w:sz="0" w:space="0" w:color="auto"/>
                        <w:left w:val="none" w:sz="0" w:space="0" w:color="auto"/>
                        <w:bottom w:val="none" w:sz="0" w:space="0" w:color="auto"/>
                        <w:right w:val="none" w:sz="0" w:space="0" w:color="auto"/>
                      </w:divBdr>
                    </w:div>
                  </w:divsChild>
                </w:div>
                <w:div w:id="976033708">
                  <w:marLeft w:val="0"/>
                  <w:marRight w:val="0"/>
                  <w:marTop w:val="0"/>
                  <w:marBottom w:val="0"/>
                  <w:divBdr>
                    <w:top w:val="none" w:sz="0" w:space="0" w:color="auto"/>
                    <w:left w:val="none" w:sz="0" w:space="0" w:color="auto"/>
                    <w:bottom w:val="none" w:sz="0" w:space="0" w:color="auto"/>
                    <w:right w:val="none" w:sz="0" w:space="0" w:color="auto"/>
                  </w:divBdr>
                  <w:divsChild>
                    <w:div w:id="388696403">
                      <w:marLeft w:val="0"/>
                      <w:marRight w:val="0"/>
                      <w:marTop w:val="0"/>
                      <w:marBottom w:val="0"/>
                      <w:divBdr>
                        <w:top w:val="none" w:sz="0" w:space="0" w:color="auto"/>
                        <w:left w:val="none" w:sz="0" w:space="0" w:color="auto"/>
                        <w:bottom w:val="none" w:sz="0" w:space="0" w:color="auto"/>
                        <w:right w:val="none" w:sz="0" w:space="0" w:color="auto"/>
                      </w:divBdr>
                    </w:div>
                  </w:divsChild>
                </w:div>
                <w:div w:id="1312321951">
                  <w:marLeft w:val="0"/>
                  <w:marRight w:val="0"/>
                  <w:marTop w:val="0"/>
                  <w:marBottom w:val="0"/>
                  <w:divBdr>
                    <w:top w:val="none" w:sz="0" w:space="0" w:color="auto"/>
                    <w:left w:val="none" w:sz="0" w:space="0" w:color="auto"/>
                    <w:bottom w:val="none" w:sz="0" w:space="0" w:color="auto"/>
                    <w:right w:val="none" w:sz="0" w:space="0" w:color="auto"/>
                  </w:divBdr>
                  <w:divsChild>
                    <w:div w:id="1101561853">
                      <w:marLeft w:val="0"/>
                      <w:marRight w:val="0"/>
                      <w:marTop w:val="0"/>
                      <w:marBottom w:val="0"/>
                      <w:divBdr>
                        <w:top w:val="none" w:sz="0" w:space="0" w:color="auto"/>
                        <w:left w:val="none" w:sz="0" w:space="0" w:color="auto"/>
                        <w:bottom w:val="none" w:sz="0" w:space="0" w:color="auto"/>
                        <w:right w:val="none" w:sz="0" w:space="0" w:color="auto"/>
                      </w:divBdr>
                    </w:div>
                  </w:divsChild>
                </w:div>
                <w:div w:id="197396304">
                  <w:marLeft w:val="0"/>
                  <w:marRight w:val="0"/>
                  <w:marTop w:val="0"/>
                  <w:marBottom w:val="0"/>
                  <w:divBdr>
                    <w:top w:val="none" w:sz="0" w:space="0" w:color="auto"/>
                    <w:left w:val="none" w:sz="0" w:space="0" w:color="auto"/>
                    <w:bottom w:val="none" w:sz="0" w:space="0" w:color="auto"/>
                    <w:right w:val="none" w:sz="0" w:space="0" w:color="auto"/>
                  </w:divBdr>
                  <w:divsChild>
                    <w:div w:id="2122453984">
                      <w:marLeft w:val="0"/>
                      <w:marRight w:val="0"/>
                      <w:marTop w:val="0"/>
                      <w:marBottom w:val="0"/>
                      <w:divBdr>
                        <w:top w:val="none" w:sz="0" w:space="0" w:color="auto"/>
                        <w:left w:val="none" w:sz="0" w:space="0" w:color="auto"/>
                        <w:bottom w:val="none" w:sz="0" w:space="0" w:color="auto"/>
                        <w:right w:val="none" w:sz="0" w:space="0" w:color="auto"/>
                      </w:divBdr>
                    </w:div>
                  </w:divsChild>
                </w:div>
                <w:div w:id="941960987">
                  <w:marLeft w:val="0"/>
                  <w:marRight w:val="0"/>
                  <w:marTop w:val="0"/>
                  <w:marBottom w:val="0"/>
                  <w:divBdr>
                    <w:top w:val="none" w:sz="0" w:space="0" w:color="auto"/>
                    <w:left w:val="none" w:sz="0" w:space="0" w:color="auto"/>
                    <w:bottom w:val="none" w:sz="0" w:space="0" w:color="auto"/>
                    <w:right w:val="none" w:sz="0" w:space="0" w:color="auto"/>
                  </w:divBdr>
                  <w:divsChild>
                    <w:div w:id="368459448">
                      <w:marLeft w:val="0"/>
                      <w:marRight w:val="0"/>
                      <w:marTop w:val="0"/>
                      <w:marBottom w:val="0"/>
                      <w:divBdr>
                        <w:top w:val="none" w:sz="0" w:space="0" w:color="auto"/>
                        <w:left w:val="none" w:sz="0" w:space="0" w:color="auto"/>
                        <w:bottom w:val="none" w:sz="0" w:space="0" w:color="auto"/>
                        <w:right w:val="none" w:sz="0" w:space="0" w:color="auto"/>
                      </w:divBdr>
                    </w:div>
                  </w:divsChild>
                </w:div>
                <w:div w:id="142813053">
                  <w:marLeft w:val="0"/>
                  <w:marRight w:val="0"/>
                  <w:marTop w:val="0"/>
                  <w:marBottom w:val="0"/>
                  <w:divBdr>
                    <w:top w:val="none" w:sz="0" w:space="0" w:color="auto"/>
                    <w:left w:val="none" w:sz="0" w:space="0" w:color="auto"/>
                    <w:bottom w:val="none" w:sz="0" w:space="0" w:color="auto"/>
                    <w:right w:val="none" w:sz="0" w:space="0" w:color="auto"/>
                  </w:divBdr>
                  <w:divsChild>
                    <w:div w:id="9982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93225">
          <w:marLeft w:val="0"/>
          <w:marRight w:val="0"/>
          <w:marTop w:val="0"/>
          <w:marBottom w:val="0"/>
          <w:divBdr>
            <w:top w:val="none" w:sz="0" w:space="0" w:color="auto"/>
            <w:left w:val="none" w:sz="0" w:space="0" w:color="auto"/>
            <w:bottom w:val="none" w:sz="0" w:space="0" w:color="auto"/>
            <w:right w:val="none" w:sz="0" w:space="0" w:color="auto"/>
          </w:divBdr>
        </w:div>
        <w:div w:id="1322463260">
          <w:marLeft w:val="0"/>
          <w:marRight w:val="0"/>
          <w:marTop w:val="0"/>
          <w:marBottom w:val="0"/>
          <w:divBdr>
            <w:top w:val="none" w:sz="0" w:space="0" w:color="auto"/>
            <w:left w:val="none" w:sz="0" w:space="0" w:color="auto"/>
            <w:bottom w:val="none" w:sz="0" w:space="0" w:color="auto"/>
            <w:right w:val="none" w:sz="0" w:space="0" w:color="auto"/>
          </w:divBdr>
          <w:divsChild>
            <w:div w:id="1745835503">
              <w:marLeft w:val="-75"/>
              <w:marRight w:val="0"/>
              <w:marTop w:val="30"/>
              <w:marBottom w:val="30"/>
              <w:divBdr>
                <w:top w:val="none" w:sz="0" w:space="0" w:color="auto"/>
                <w:left w:val="none" w:sz="0" w:space="0" w:color="auto"/>
                <w:bottom w:val="none" w:sz="0" w:space="0" w:color="auto"/>
                <w:right w:val="none" w:sz="0" w:space="0" w:color="auto"/>
              </w:divBdr>
              <w:divsChild>
                <w:div w:id="389885194">
                  <w:marLeft w:val="0"/>
                  <w:marRight w:val="0"/>
                  <w:marTop w:val="0"/>
                  <w:marBottom w:val="0"/>
                  <w:divBdr>
                    <w:top w:val="none" w:sz="0" w:space="0" w:color="auto"/>
                    <w:left w:val="none" w:sz="0" w:space="0" w:color="auto"/>
                    <w:bottom w:val="none" w:sz="0" w:space="0" w:color="auto"/>
                    <w:right w:val="none" w:sz="0" w:space="0" w:color="auto"/>
                  </w:divBdr>
                  <w:divsChild>
                    <w:div w:id="1540897817">
                      <w:marLeft w:val="0"/>
                      <w:marRight w:val="0"/>
                      <w:marTop w:val="0"/>
                      <w:marBottom w:val="0"/>
                      <w:divBdr>
                        <w:top w:val="none" w:sz="0" w:space="0" w:color="auto"/>
                        <w:left w:val="none" w:sz="0" w:space="0" w:color="auto"/>
                        <w:bottom w:val="none" w:sz="0" w:space="0" w:color="auto"/>
                        <w:right w:val="none" w:sz="0" w:space="0" w:color="auto"/>
                      </w:divBdr>
                    </w:div>
                  </w:divsChild>
                </w:div>
                <w:div w:id="753629127">
                  <w:marLeft w:val="0"/>
                  <w:marRight w:val="0"/>
                  <w:marTop w:val="0"/>
                  <w:marBottom w:val="0"/>
                  <w:divBdr>
                    <w:top w:val="none" w:sz="0" w:space="0" w:color="auto"/>
                    <w:left w:val="none" w:sz="0" w:space="0" w:color="auto"/>
                    <w:bottom w:val="none" w:sz="0" w:space="0" w:color="auto"/>
                    <w:right w:val="none" w:sz="0" w:space="0" w:color="auto"/>
                  </w:divBdr>
                  <w:divsChild>
                    <w:div w:id="1851292849">
                      <w:marLeft w:val="0"/>
                      <w:marRight w:val="0"/>
                      <w:marTop w:val="0"/>
                      <w:marBottom w:val="0"/>
                      <w:divBdr>
                        <w:top w:val="none" w:sz="0" w:space="0" w:color="auto"/>
                        <w:left w:val="none" w:sz="0" w:space="0" w:color="auto"/>
                        <w:bottom w:val="none" w:sz="0" w:space="0" w:color="auto"/>
                        <w:right w:val="none" w:sz="0" w:space="0" w:color="auto"/>
                      </w:divBdr>
                    </w:div>
                  </w:divsChild>
                </w:div>
                <w:div w:id="1430159086">
                  <w:marLeft w:val="0"/>
                  <w:marRight w:val="0"/>
                  <w:marTop w:val="0"/>
                  <w:marBottom w:val="0"/>
                  <w:divBdr>
                    <w:top w:val="none" w:sz="0" w:space="0" w:color="auto"/>
                    <w:left w:val="none" w:sz="0" w:space="0" w:color="auto"/>
                    <w:bottom w:val="none" w:sz="0" w:space="0" w:color="auto"/>
                    <w:right w:val="none" w:sz="0" w:space="0" w:color="auto"/>
                  </w:divBdr>
                  <w:divsChild>
                    <w:div w:id="1055203750">
                      <w:marLeft w:val="0"/>
                      <w:marRight w:val="0"/>
                      <w:marTop w:val="0"/>
                      <w:marBottom w:val="0"/>
                      <w:divBdr>
                        <w:top w:val="none" w:sz="0" w:space="0" w:color="auto"/>
                        <w:left w:val="none" w:sz="0" w:space="0" w:color="auto"/>
                        <w:bottom w:val="none" w:sz="0" w:space="0" w:color="auto"/>
                        <w:right w:val="none" w:sz="0" w:space="0" w:color="auto"/>
                      </w:divBdr>
                    </w:div>
                    <w:div w:id="1815902822">
                      <w:marLeft w:val="0"/>
                      <w:marRight w:val="0"/>
                      <w:marTop w:val="0"/>
                      <w:marBottom w:val="0"/>
                      <w:divBdr>
                        <w:top w:val="none" w:sz="0" w:space="0" w:color="auto"/>
                        <w:left w:val="none" w:sz="0" w:space="0" w:color="auto"/>
                        <w:bottom w:val="none" w:sz="0" w:space="0" w:color="auto"/>
                        <w:right w:val="none" w:sz="0" w:space="0" w:color="auto"/>
                      </w:divBdr>
                    </w:div>
                  </w:divsChild>
                </w:div>
                <w:div w:id="375004540">
                  <w:marLeft w:val="0"/>
                  <w:marRight w:val="0"/>
                  <w:marTop w:val="0"/>
                  <w:marBottom w:val="0"/>
                  <w:divBdr>
                    <w:top w:val="none" w:sz="0" w:space="0" w:color="auto"/>
                    <w:left w:val="none" w:sz="0" w:space="0" w:color="auto"/>
                    <w:bottom w:val="none" w:sz="0" w:space="0" w:color="auto"/>
                    <w:right w:val="none" w:sz="0" w:space="0" w:color="auto"/>
                  </w:divBdr>
                  <w:divsChild>
                    <w:div w:id="784471816">
                      <w:marLeft w:val="0"/>
                      <w:marRight w:val="0"/>
                      <w:marTop w:val="0"/>
                      <w:marBottom w:val="0"/>
                      <w:divBdr>
                        <w:top w:val="none" w:sz="0" w:space="0" w:color="auto"/>
                        <w:left w:val="none" w:sz="0" w:space="0" w:color="auto"/>
                        <w:bottom w:val="none" w:sz="0" w:space="0" w:color="auto"/>
                        <w:right w:val="none" w:sz="0" w:space="0" w:color="auto"/>
                      </w:divBdr>
                    </w:div>
                  </w:divsChild>
                </w:div>
                <w:div w:id="649406545">
                  <w:marLeft w:val="0"/>
                  <w:marRight w:val="0"/>
                  <w:marTop w:val="0"/>
                  <w:marBottom w:val="0"/>
                  <w:divBdr>
                    <w:top w:val="none" w:sz="0" w:space="0" w:color="auto"/>
                    <w:left w:val="none" w:sz="0" w:space="0" w:color="auto"/>
                    <w:bottom w:val="none" w:sz="0" w:space="0" w:color="auto"/>
                    <w:right w:val="none" w:sz="0" w:space="0" w:color="auto"/>
                  </w:divBdr>
                  <w:divsChild>
                    <w:div w:id="832717352">
                      <w:marLeft w:val="0"/>
                      <w:marRight w:val="0"/>
                      <w:marTop w:val="0"/>
                      <w:marBottom w:val="0"/>
                      <w:divBdr>
                        <w:top w:val="none" w:sz="0" w:space="0" w:color="auto"/>
                        <w:left w:val="none" w:sz="0" w:space="0" w:color="auto"/>
                        <w:bottom w:val="none" w:sz="0" w:space="0" w:color="auto"/>
                        <w:right w:val="none" w:sz="0" w:space="0" w:color="auto"/>
                      </w:divBdr>
                    </w:div>
                  </w:divsChild>
                </w:div>
                <w:div w:id="1422750811">
                  <w:marLeft w:val="0"/>
                  <w:marRight w:val="0"/>
                  <w:marTop w:val="0"/>
                  <w:marBottom w:val="0"/>
                  <w:divBdr>
                    <w:top w:val="none" w:sz="0" w:space="0" w:color="auto"/>
                    <w:left w:val="none" w:sz="0" w:space="0" w:color="auto"/>
                    <w:bottom w:val="none" w:sz="0" w:space="0" w:color="auto"/>
                    <w:right w:val="none" w:sz="0" w:space="0" w:color="auto"/>
                  </w:divBdr>
                  <w:divsChild>
                    <w:div w:id="1083985861">
                      <w:marLeft w:val="0"/>
                      <w:marRight w:val="0"/>
                      <w:marTop w:val="0"/>
                      <w:marBottom w:val="0"/>
                      <w:divBdr>
                        <w:top w:val="none" w:sz="0" w:space="0" w:color="auto"/>
                        <w:left w:val="none" w:sz="0" w:space="0" w:color="auto"/>
                        <w:bottom w:val="none" w:sz="0" w:space="0" w:color="auto"/>
                        <w:right w:val="none" w:sz="0" w:space="0" w:color="auto"/>
                      </w:divBdr>
                    </w:div>
                  </w:divsChild>
                </w:div>
                <w:div w:id="1228954129">
                  <w:marLeft w:val="0"/>
                  <w:marRight w:val="0"/>
                  <w:marTop w:val="0"/>
                  <w:marBottom w:val="0"/>
                  <w:divBdr>
                    <w:top w:val="none" w:sz="0" w:space="0" w:color="auto"/>
                    <w:left w:val="none" w:sz="0" w:space="0" w:color="auto"/>
                    <w:bottom w:val="none" w:sz="0" w:space="0" w:color="auto"/>
                    <w:right w:val="none" w:sz="0" w:space="0" w:color="auto"/>
                  </w:divBdr>
                  <w:divsChild>
                    <w:div w:id="1622876601">
                      <w:marLeft w:val="0"/>
                      <w:marRight w:val="0"/>
                      <w:marTop w:val="0"/>
                      <w:marBottom w:val="0"/>
                      <w:divBdr>
                        <w:top w:val="none" w:sz="0" w:space="0" w:color="auto"/>
                        <w:left w:val="none" w:sz="0" w:space="0" w:color="auto"/>
                        <w:bottom w:val="none" w:sz="0" w:space="0" w:color="auto"/>
                        <w:right w:val="none" w:sz="0" w:space="0" w:color="auto"/>
                      </w:divBdr>
                    </w:div>
                  </w:divsChild>
                </w:div>
                <w:div w:id="255014859">
                  <w:marLeft w:val="0"/>
                  <w:marRight w:val="0"/>
                  <w:marTop w:val="0"/>
                  <w:marBottom w:val="0"/>
                  <w:divBdr>
                    <w:top w:val="none" w:sz="0" w:space="0" w:color="auto"/>
                    <w:left w:val="none" w:sz="0" w:space="0" w:color="auto"/>
                    <w:bottom w:val="none" w:sz="0" w:space="0" w:color="auto"/>
                    <w:right w:val="none" w:sz="0" w:space="0" w:color="auto"/>
                  </w:divBdr>
                  <w:divsChild>
                    <w:div w:id="1795563926">
                      <w:marLeft w:val="0"/>
                      <w:marRight w:val="0"/>
                      <w:marTop w:val="0"/>
                      <w:marBottom w:val="0"/>
                      <w:divBdr>
                        <w:top w:val="none" w:sz="0" w:space="0" w:color="auto"/>
                        <w:left w:val="none" w:sz="0" w:space="0" w:color="auto"/>
                        <w:bottom w:val="none" w:sz="0" w:space="0" w:color="auto"/>
                        <w:right w:val="none" w:sz="0" w:space="0" w:color="auto"/>
                      </w:divBdr>
                    </w:div>
                  </w:divsChild>
                </w:div>
                <w:div w:id="1733888006">
                  <w:marLeft w:val="0"/>
                  <w:marRight w:val="0"/>
                  <w:marTop w:val="0"/>
                  <w:marBottom w:val="0"/>
                  <w:divBdr>
                    <w:top w:val="none" w:sz="0" w:space="0" w:color="auto"/>
                    <w:left w:val="none" w:sz="0" w:space="0" w:color="auto"/>
                    <w:bottom w:val="none" w:sz="0" w:space="0" w:color="auto"/>
                    <w:right w:val="none" w:sz="0" w:space="0" w:color="auto"/>
                  </w:divBdr>
                  <w:divsChild>
                    <w:div w:id="242615529">
                      <w:marLeft w:val="0"/>
                      <w:marRight w:val="0"/>
                      <w:marTop w:val="0"/>
                      <w:marBottom w:val="0"/>
                      <w:divBdr>
                        <w:top w:val="none" w:sz="0" w:space="0" w:color="auto"/>
                        <w:left w:val="none" w:sz="0" w:space="0" w:color="auto"/>
                        <w:bottom w:val="none" w:sz="0" w:space="0" w:color="auto"/>
                        <w:right w:val="none" w:sz="0" w:space="0" w:color="auto"/>
                      </w:divBdr>
                    </w:div>
                  </w:divsChild>
                </w:div>
                <w:div w:id="1588491425">
                  <w:marLeft w:val="0"/>
                  <w:marRight w:val="0"/>
                  <w:marTop w:val="0"/>
                  <w:marBottom w:val="0"/>
                  <w:divBdr>
                    <w:top w:val="none" w:sz="0" w:space="0" w:color="auto"/>
                    <w:left w:val="none" w:sz="0" w:space="0" w:color="auto"/>
                    <w:bottom w:val="none" w:sz="0" w:space="0" w:color="auto"/>
                    <w:right w:val="none" w:sz="0" w:space="0" w:color="auto"/>
                  </w:divBdr>
                  <w:divsChild>
                    <w:div w:id="1539852789">
                      <w:marLeft w:val="0"/>
                      <w:marRight w:val="0"/>
                      <w:marTop w:val="0"/>
                      <w:marBottom w:val="0"/>
                      <w:divBdr>
                        <w:top w:val="none" w:sz="0" w:space="0" w:color="auto"/>
                        <w:left w:val="none" w:sz="0" w:space="0" w:color="auto"/>
                        <w:bottom w:val="none" w:sz="0" w:space="0" w:color="auto"/>
                        <w:right w:val="none" w:sz="0" w:space="0" w:color="auto"/>
                      </w:divBdr>
                    </w:div>
                  </w:divsChild>
                </w:div>
                <w:div w:id="941500205">
                  <w:marLeft w:val="0"/>
                  <w:marRight w:val="0"/>
                  <w:marTop w:val="0"/>
                  <w:marBottom w:val="0"/>
                  <w:divBdr>
                    <w:top w:val="none" w:sz="0" w:space="0" w:color="auto"/>
                    <w:left w:val="none" w:sz="0" w:space="0" w:color="auto"/>
                    <w:bottom w:val="none" w:sz="0" w:space="0" w:color="auto"/>
                    <w:right w:val="none" w:sz="0" w:space="0" w:color="auto"/>
                  </w:divBdr>
                  <w:divsChild>
                    <w:div w:id="1933466799">
                      <w:marLeft w:val="0"/>
                      <w:marRight w:val="0"/>
                      <w:marTop w:val="0"/>
                      <w:marBottom w:val="0"/>
                      <w:divBdr>
                        <w:top w:val="none" w:sz="0" w:space="0" w:color="auto"/>
                        <w:left w:val="none" w:sz="0" w:space="0" w:color="auto"/>
                        <w:bottom w:val="none" w:sz="0" w:space="0" w:color="auto"/>
                        <w:right w:val="none" w:sz="0" w:space="0" w:color="auto"/>
                      </w:divBdr>
                    </w:div>
                  </w:divsChild>
                </w:div>
                <w:div w:id="1116487012">
                  <w:marLeft w:val="0"/>
                  <w:marRight w:val="0"/>
                  <w:marTop w:val="0"/>
                  <w:marBottom w:val="0"/>
                  <w:divBdr>
                    <w:top w:val="none" w:sz="0" w:space="0" w:color="auto"/>
                    <w:left w:val="none" w:sz="0" w:space="0" w:color="auto"/>
                    <w:bottom w:val="none" w:sz="0" w:space="0" w:color="auto"/>
                    <w:right w:val="none" w:sz="0" w:space="0" w:color="auto"/>
                  </w:divBdr>
                  <w:divsChild>
                    <w:div w:id="2019116912">
                      <w:marLeft w:val="0"/>
                      <w:marRight w:val="0"/>
                      <w:marTop w:val="0"/>
                      <w:marBottom w:val="0"/>
                      <w:divBdr>
                        <w:top w:val="none" w:sz="0" w:space="0" w:color="auto"/>
                        <w:left w:val="none" w:sz="0" w:space="0" w:color="auto"/>
                        <w:bottom w:val="none" w:sz="0" w:space="0" w:color="auto"/>
                        <w:right w:val="none" w:sz="0" w:space="0" w:color="auto"/>
                      </w:divBdr>
                    </w:div>
                  </w:divsChild>
                </w:div>
                <w:div w:id="561330744">
                  <w:marLeft w:val="0"/>
                  <w:marRight w:val="0"/>
                  <w:marTop w:val="0"/>
                  <w:marBottom w:val="0"/>
                  <w:divBdr>
                    <w:top w:val="none" w:sz="0" w:space="0" w:color="auto"/>
                    <w:left w:val="none" w:sz="0" w:space="0" w:color="auto"/>
                    <w:bottom w:val="none" w:sz="0" w:space="0" w:color="auto"/>
                    <w:right w:val="none" w:sz="0" w:space="0" w:color="auto"/>
                  </w:divBdr>
                  <w:divsChild>
                    <w:div w:id="467825229">
                      <w:marLeft w:val="0"/>
                      <w:marRight w:val="0"/>
                      <w:marTop w:val="0"/>
                      <w:marBottom w:val="0"/>
                      <w:divBdr>
                        <w:top w:val="none" w:sz="0" w:space="0" w:color="auto"/>
                        <w:left w:val="none" w:sz="0" w:space="0" w:color="auto"/>
                        <w:bottom w:val="none" w:sz="0" w:space="0" w:color="auto"/>
                        <w:right w:val="none" w:sz="0" w:space="0" w:color="auto"/>
                      </w:divBdr>
                    </w:div>
                  </w:divsChild>
                </w:div>
                <w:div w:id="1617835724">
                  <w:marLeft w:val="0"/>
                  <w:marRight w:val="0"/>
                  <w:marTop w:val="0"/>
                  <w:marBottom w:val="0"/>
                  <w:divBdr>
                    <w:top w:val="none" w:sz="0" w:space="0" w:color="auto"/>
                    <w:left w:val="none" w:sz="0" w:space="0" w:color="auto"/>
                    <w:bottom w:val="none" w:sz="0" w:space="0" w:color="auto"/>
                    <w:right w:val="none" w:sz="0" w:space="0" w:color="auto"/>
                  </w:divBdr>
                  <w:divsChild>
                    <w:div w:id="283198278">
                      <w:marLeft w:val="0"/>
                      <w:marRight w:val="0"/>
                      <w:marTop w:val="0"/>
                      <w:marBottom w:val="0"/>
                      <w:divBdr>
                        <w:top w:val="none" w:sz="0" w:space="0" w:color="auto"/>
                        <w:left w:val="none" w:sz="0" w:space="0" w:color="auto"/>
                        <w:bottom w:val="none" w:sz="0" w:space="0" w:color="auto"/>
                        <w:right w:val="none" w:sz="0" w:space="0" w:color="auto"/>
                      </w:divBdr>
                    </w:div>
                  </w:divsChild>
                </w:div>
                <w:div w:id="795757425">
                  <w:marLeft w:val="0"/>
                  <w:marRight w:val="0"/>
                  <w:marTop w:val="0"/>
                  <w:marBottom w:val="0"/>
                  <w:divBdr>
                    <w:top w:val="none" w:sz="0" w:space="0" w:color="auto"/>
                    <w:left w:val="none" w:sz="0" w:space="0" w:color="auto"/>
                    <w:bottom w:val="none" w:sz="0" w:space="0" w:color="auto"/>
                    <w:right w:val="none" w:sz="0" w:space="0" w:color="auto"/>
                  </w:divBdr>
                  <w:divsChild>
                    <w:div w:id="1296446539">
                      <w:marLeft w:val="0"/>
                      <w:marRight w:val="0"/>
                      <w:marTop w:val="0"/>
                      <w:marBottom w:val="0"/>
                      <w:divBdr>
                        <w:top w:val="none" w:sz="0" w:space="0" w:color="auto"/>
                        <w:left w:val="none" w:sz="0" w:space="0" w:color="auto"/>
                        <w:bottom w:val="none" w:sz="0" w:space="0" w:color="auto"/>
                        <w:right w:val="none" w:sz="0" w:space="0" w:color="auto"/>
                      </w:divBdr>
                    </w:div>
                  </w:divsChild>
                </w:div>
                <w:div w:id="2067751422">
                  <w:marLeft w:val="0"/>
                  <w:marRight w:val="0"/>
                  <w:marTop w:val="0"/>
                  <w:marBottom w:val="0"/>
                  <w:divBdr>
                    <w:top w:val="none" w:sz="0" w:space="0" w:color="auto"/>
                    <w:left w:val="none" w:sz="0" w:space="0" w:color="auto"/>
                    <w:bottom w:val="none" w:sz="0" w:space="0" w:color="auto"/>
                    <w:right w:val="none" w:sz="0" w:space="0" w:color="auto"/>
                  </w:divBdr>
                  <w:divsChild>
                    <w:div w:id="1170025625">
                      <w:marLeft w:val="0"/>
                      <w:marRight w:val="0"/>
                      <w:marTop w:val="0"/>
                      <w:marBottom w:val="0"/>
                      <w:divBdr>
                        <w:top w:val="none" w:sz="0" w:space="0" w:color="auto"/>
                        <w:left w:val="none" w:sz="0" w:space="0" w:color="auto"/>
                        <w:bottom w:val="none" w:sz="0" w:space="0" w:color="auto"/>
                        <w:right w:val="none" w:sz="0" w:space="0" w:color="auto"/>
                      </w:divBdr>
                    </w:div>
                  </w:divsChild>
                </w:div>
                <w:div w:id="1944651971">
                  <w:marLeft w:val="0"/>
                  <w:marRight w:val="0"/>
                  <w:marTop w:val="0"/>
                  <w:marBottom w:val="0"/>
                  <w:divBdr>
                    <w:top w:val="none" w:sz="0" w:space="0" w:color="auto"/>
                    <w:left w:val="none" w:sz="0" w:space="0" w:color="auto"/>
                    <w:bottom w:val="none" w:sz="0" w:space="0" w:color="auto"/>
                    <w:right w:val="none" w:sz="0" w:space="0" w:color="auto"/>
                  </w:divBdr>
                  <w:divsChild>
                    <w:div w:id="1941644624">
                      <w:marLeft w:val="0"/>
                      <w:marRight w:val="0"/>
                      <w:marTop w:val="0"/>
                      <w:marBottom w:val="0"/>
                      <w:divBdr>
                        <w:top w:val="none" w:sz="0" w:space="0" w:color="auto"/>
                        <w:left w:val="none" w:sz="0" w:space="0" w:color="auto"/>
                        <w:bottom w:val="none" w:sz="0" w:space="0" w:color="auto"/>
                        <w:right w:val="none" w:sz="0" w:space="0" w:color="auto"/>
                      </w:divBdr>
                    </w:div>
                  </w:divsChild>
                </w:div>
                <w:div w:id="919683157">
                  <w:marLeft w:val="0"/>
                  <w:marRight w:val="0"/>
                  <w:marTop w:val="0"/>
                  <w:marBottom w:val="0"/>
                  <w:divBdr>
                    <w:top w:val="none" w:sz="0" w:space="0" w:color="auto"/>
                    <w:left w:val="none" w:sz="0" w:space="0" w:color="auto"/>
                    <w:bottom w:val="none" w:sz="0" w:space="0" w:color="auto"/>
                    <w:right w:val="none" w:sz="0" w:space="0" w:color="auto"/>
                  </w:divBdr>
                  <w:divsChild>
                    <w:div w:id="755714818">
                      <w:marLeft w:val="0"/>
                      <w:marRight w:val="0"/>
                      <w:marTop w:val="0"/>
                      <w:marBottom w:val="0"/>
                      <w:divBdr>
                        <w:top w:val="none" w:sz="0" w:space="0" w:color="auto"/>
                        <w:left w:val="none" w:sz="0" w:space="0" w:color="auto"/>
                        <w:bottom w:val="none" w:sz="0" w:space="0" w:color="auto"/>
                        <w:right w:val="none" w:sz="0" w:space="0" w:color="auto"/>
                      </w:divBdr>
                    </w:div>
                  </w:divsChild>
                </w:div>
                <w:div w:id="912198349">
                  <w:marLeft w:val="0"/>
                  <w:marRight w:val="0"/>
                  <w:marTop w:val="0"/>
                  <w:marBottom w:val="0"/>
                  <w:divBdr>
                    <w:top w:val="none" w:sz="0" w:space="0" w:color="auto"/>
                    <w:left w:val="none" w:sz="0" w:space="0" w:color="auto"/>
                    <w:bottom w:val="none" w:sz="0" w:space="0" w:color="auto"/>
                    <w:right w:val="none" w:sz="0" w:space="0" w:color="auto"/>
                  </w:divBdr>
                  <w:divsChild>
                    <w:div w:id="96146922">
                      <w:marLeft w:val="0"/>
                      <w:marRight w:val="0"/>
                      <w:marTop w:val="0"/>
                      <w:marBottom w:val="0"/>
                      <w:divBdr>
                        <w:top w:val="none" w:sz="0" w:space="0" w:color="auto"/>
                        <w:left w:val="none" w:sz="0" w:space="0" w:color="auto"/>
                        <w:bottom w:val="none" w:sz="0" w:space="0" w:color="auto"/>
                        <w:right w:val="none" w:sz="0" w:space="0" w:color="auto"/>
                      </w:divBdr>
                    </w:div>
                  </w:divsChild>
                </w:div>
                <w:div w:id="857892715">
                  <w:marLeft w:val="0"/>
                  <w:marRight w:val="0"/>
                  <w:marTop w:val="0"/>
                  <w:marBottom w:val="0"/>
                  <w:divBdr>
                    <w:top w:val="none" w:sz="0" w:space="0" w:color="auto"/>
                    <w:left w:val="none" w:sz="0" w:space="0" w:color="auto"/>
                    <w:bottom w:val="none" w:sz="0" w:space="0" w:color="auto"/>
                    <w:right w:val="none" w:sz="0" w:space="0" w:color="auto"/>
                  </w:divBdr>
                  <w:divsChild>
                    <w:div w:id="1964000726">
                      <w:marLeft w:val="0"/>
                      <w:marRight w:val="0"/>
                      <w:marTop w:val="0"/>
                      <w:marBottom w:val="0"/>
                      <w:divBdr>
                        <w:top w:val="none" w:sz="0" w:space="0" w:color="auto"/>
                        <w:left w:val="none" w:sz="0" w:space="0" w:color="auto"/>
                        <w:bottom w:val="none" w:sz="0" w:space="0" w:color="auto"/>
                        <w:right w:val="none" w:sz="0" w:space="0" w:color="auto"/>
                      </w:divBdr>
                    </w:div>
                  </w:divsChild>
                </w:div>
                <w:div w:id="1710300912">
                  <w:marLeft w:val="0"/>
                  <w:marRight w:val="0"/>
                  <w:marTop w:val="0"/>
                  <w:marBottom w:val="0"/>
                  <w:divBdr>
                    <w:top w:val="none" w:sz="0" w:space="0" w:color="auto"/>
                    <w:left w:val="none" w:sz="0" w:space="0" w:color="auto"/>
                    <w:bottom w:val="none" w:sz="0" w:space="0" w:color="auto"/>
                    <w:right w:val="none" w:sz="0" w:space="0" w:color="auto"/>
                  </w:divBdr>
                  <w:divsChild>
                    <w:div w:id="140192864">
                      <w:marLeft w:val="0"/>
                      <w:marRight w:val="0"/>
                      <w:marTop w:val="0"/>
                      <w:marBottom w:val="0"/>
                      <w:divBdr>
                        <w:top w:val="none" w:sz="0" w:space="0" w:color="auto"/>
                        <w:left w:val="none" w:sz="0" w:space="0" w:color="auto"/>
                        <w:bottom w:val="none" w:sz="0" w:space="0" w:color="auto"/>
                        <w:right w:val="none" w:sz="0" w:space="0" w:color="auto"/>
                      </w:divBdr>
                    </w:div>
                  </w:divsChild>
                </w:div>
                <w:div w:id="800420172">
                  <w:marLeft w:val="0"/>
                  <w:marRight w:val="0"/>
                  <w:marTop w:val="0"/>
                  <w:marBottom w:val="0"/>
                  <w:divBdr>
                    <w:top w:val="none" w:sz="0" w:space="0" w:color="auto"/>
                    <w:left w:val="none" w:sz="0" w:space="0" w:color="auto"/>
                    <w:bottom w:val="none" w:sz="0" w:space="0" w:color="auto"/>
                    <w:right w:val="none" w:sz="0" w:space="0" w:color="auto"/>
                  </w:divBdr>
                  <w:divsChild>
                    <w:div w:id="1956282251">
                      <w:marLeft w:val="0"/>
                      <w:marRight w:val="0"/>
                      <w:marTop w:val="0"/>
                      <w:marBottom w:val="0"/>
                      <w:divBdr>
                        <w:top w:val="none" w:sz="0" w:space="0" w:color="auto"/>
                        <w:left w:val="none" w:sz="0" w:space="0" w:color="auto"/>
                        <w:bottom w:val="none" w:sz="0" w:space="0" w:color="auto"/>
                        <w:right w:val="none" w:sz="0" w:space="0" w:color="auto"/>
                      </w:divBdr>
                    </w:div>
                  </w:divsChild>
                </w:div>
                <w:div w:id="1157070016">
                  <w:marLeft w:val="0"/>
                  <w:marRight w:val="0"/>
                  <w:marTop w:val="0"/>
                  <w:marBottom w:val="0"/>
                  <w:divBdr>
                    <w:top w:val="none" w:sz="0" w:space="0" w:color="auto"/>
                    <w:left w:val="none" w:sz="0" w:space="0" w:color="auto"/>
                    <w:bottom w:val="none" w:sz="0" w:space="0" w:color="auto"/>
                    <w:right w:val="none" w:sz="0" w:space="0" w:color="auto"/>
                  </w:divBdr>
                  <w:divsChild>
                    <w:div w:id="49245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755">
          <w:marLeft w:val="0"/>
          <w:marRight w:val="0"/>
          <w:marTop w:val="0"/>
          <w:marBottom w:val="0"/>
          <w:divBdr>
            <w:top w:val="none" w:sz="0" w:space="0" w:color="auto"/>
            <w:left w:val="none" w:sz="0" w:space="0" w:color="auto"/>
            <w:bottom w:val="none" w:sz="0" w:space="0" w:color="auto"/>
            <w:right w:val="none" w:sz="0" w:space="0" w:color="auto"/>
          </w:divBdr>
        </w:div>
        <w:div w:id="341319199">
          <w:marLeft w:val="0"/>
          <w:marRight w:val="0"/>
          <w:marTop w:val="0"/>
          <w:marBottom w:val="0"/>
          <w:divBdr>
            <w:top w:val="none" w:sz="0" w:space="0" w:color="auto"/>
            <w:left w:val="none" w:sz="0" w:space="0" w:color="auto"/>
            <w:bottom w:val="none" w:sz="0" w:space="0" w:color="auto"/>
            <w:right w:val="none" w:sz="0" w:space="0" w:color="auto"/>
          </w:divBdr>
        </w:div>
        <w:div w:id="661784351">
          <w:marLeft w:val="0"/>
          <w:marRight w:val="0"/>
          <w:marTop w:val="0"/>
          <w:marBottom w:val="0"/>
          <w:divBdr>
            <w:top w:val="none" w:sz="0" w:space="0" w:color="auto"/>
            <w:left w:val="none" w:sz="0" w:space="0" w:color="auto"/>
            <w:bottom w:val="none" w:sz="0" w:space="0" w:color="auto"/>
            <w:right w:val="none" w:sz="0" w:space="0" w:color="auto"/>
          </w:divBdr>
          <w:divsChild>
            <w:div w:id="104470120">
              <w:marLeft w:val="-75"/>
              <w:marRight w:val="0"/>
              <w:marTop w:val="30"/>
              <w:marBottom w:val="30"/>
              <w:divBdr>
                <w:top w:val="none" w:sz="0" w:space="0" w:color="auto"/>
                <w:left w:val="none" w:sz="0" w:space="0" w:color="auto"/>
                <w:bottom w:val="none" w:sz="0" w:space="0" w:color="auto"/>
                <w:right w:val="none" w:sz="0" w:space="0" w:color="auto"/>
              </w:divBdr>
              <w:divsChild>
                <w:div w:id="414475448">
                  <w:marLeft w:val="0"/>
                  <w:marRight w:val="0"/>
                  <w:marTop w:val="0"/>
                  <w:marBottom w:val="0"/>
                  <w:divBdr>
                    <w:top w:val="none" w:sz="0" w:space="0" w:color="auto"/>
                    <w:left w:val="none" w:sz="0" w:space="0" w:color="auto"/>
                    <w:bottom w:val="none" w:sz="0" w:space="0" w:color="auto"/>
                    <w:right w:val="none" w:sz="0" w:space="0" w:color="auto"/>
                  </w:divBdr>
                  <w:divsChild>
                    <w:div w:id="544369282">
                      <w:marLeft w:val="0"/>
                      <w:marRight w:val="0"/>
                      <w:marTop w:val="0"/>
                      <w:marBottom w:val="0"/>
                      <w:divBdr>
                        <w:top w:val="none" w:sz="0" w:space="0" w:color="auto"/>
                        <w:left w:val="none" w:sz="0" w:space="0" w:color="auto"/>
                        <w:bottom w:val="none" w:sz="0" w:space="0" w:color="auto"/>
                        <w:right w:val="none" w:sz="0" w:space="0" w:color="auto"/>
                      </w:divBdr>
                    </w:div>
                  </w:divsChild>
                </w:div>
                <w:div w:id="1114592082">
                  <w:marLeft w:val="0"/>
                  <w:marRight w:val="0"/>
                  <w:marTop w:val="0"/>
                  <w:marBottom w:val="0"/>
                  <w:divBdr>
                    <w:top w:val="none" w:sz="0" w:space="0" w:color="auto"/>
                    <w:left w:val="none" w:sz="0" w:space="0" w:color="auto"/>
                    <w:bottom w:val="none" w:sz="0" w:space="0" w:color="auto"/>
                    <w:right w:val="none" w:sz="0" w:space="0" w:color="auto"/>
                  </w:divBdr>
                  <w:divsChild>
                    <w:div w:id="200476711">
                      <w:marLeft w:val="0"/>
                      <w:marRight w:val="0"/>
                      <w:marTop w:val="0"/>
                      <w:marBottom w:val="0"/>
                      <w:divBdr>
                        <w:top w:val="none" w:sz="0" w:space="0" w:color="auto"/>
                        <w:left w:val="none" w:sz="0" w:space="0" w:color="auto"/>
                        <w:bottom w:val="none" w:sz="0" w:space="0" w:color="auto"/>
                        <w:right w:val="none" w:sz="0" w:space="0" w:color="auto"/>
                      </w:divBdr>
                    </w:div>
                  </w:divsChild>
                </w:div>
                <w:div w:id="1158957540">
                  <w:marLeft w:val="0"/>
                  <w:marRight w:val="0"/>
                  <w:marTop w:val="0"/>
                  <w:marBottom w:val="0"/>
                  <w:divBdr>
                    <w:top w:val="none" w:sz="0" w:space="0" w:color="auto"/>
                    <w:left w:val="none" w:sz="0" w:space="0" w:color="auto"/>
                    <w:bottom w:val="none" w:sz="0" w:space="0" w:color="auto"/>
                    <w:right w:val="none" w:sz="0" w:space="0" w:color="auto"/>
                  </w:divBdr>
                  <w:divsChild>
                    <w:div w:id="308562320">
                      <w:marLeft w:val="0"/>
                      <w:marRight w:val="0"/>
                      <w:marTop w:val="0"/>
                      <w:marBottom w:val="0"/>
                      <w:divBdr>
                        <w:top w:val="none" w:sz="0" w:space="0" w:color="auto"/>
                        <w:left w:val="none" w:sz="0" w:space="0" w:color="auto"/>
                        <w:bottom w:val="none" w:sz="0" w:space="0" w:color="auto"/>
                        <w:right w:val="none" w:sz="0" w:space="0" w:color="auto"/>
                      </w:divBdr>
                    </w:div>
                  </w:divsChild>
                </w:div>
                <w:div w:id="24527065">
                  <w:marLeft w:val="0"/>
                  <w:marRight w:val="0"/>
                  <w:marTop w:val="0"/>
                  <w:marBottom w:val="0"/>
                  <w:divBdr>
                    <w:top w:val="none" w:sz="0" w:space="0" w:color="auto"/>
                    <w:left w:val="none" w:sz="0" w:space="0" w:color="auto"/>
                    <w:bottom w:val="none" w:sz="0" w:space="0" w:color="auto"/>
                    <w:right w:val="none" w:sz="0" w:space="0" w:color="auto"/>
                  </w:divBdr>
                  <w:divsChild>
                    <w:div w:id="984894426">
                      <w:marLeft w:val="0"/>
                      <w:marRight w:val="0"/>
                      <w:marTop w:val="0"/>
                      <w:marBottom w:val="0"/>
                      <w:divBdr>
                        <w:top w:val="none" w:sz="0" w:space="0" w:color="auto"/>
                        <w:left w:val="none" w:sz="0" w:space="0" w:color="auto"/>
                        <w:bottom w:val="none" w:sz="0" w:space="0" w:color="auto"/>
                        <w:right w:val="none" w:sz="0" w:space="0" w:color="auto"/>
                      </w:divBdr>
                    </w:div>
                  </w:divsChild>
                </w:div>
                <w:div w:id="284511351">
                  <w:marLeft w:val="0"/>
                  <w:marRight w:val="0"/>
                  <w:marTop w:val="0"/>
                  <w:marBottom w:val="0"/>
                  <w:divBdr>
                    <w:top w:val="none" w:sz="0" w:space="0" w:color="auto"/>
                    <w:left w:val="none" w:sz="0" w:space="0" w:color="auto"/>
                    <w:bottom w:val="none" w:sz="0" w:space="0" w:color="auto"/>
                    <w:right w:val="none" w:sz="0" w:space="0" w:color="auto"/>
                  </w:divBdr>
                  <w:divsChild>
                    <w:div w:id="1808548512">
                      <w:marLeft w:val="0"/>
                      <w:marRight w:val="0"/>
                      <w:marTop w:val="0"/>
                      <w:marBottom w:val="0"/>
                      <w:divBdr>
                        <w:top w:val="none" w:sz="0" w:space="0" w:color="auto"/>
                        <w:left w:val="none" w:sz="0" w:space="0" w:color="auto"/>
                        <w:bottom w:val="none" w:sz="0" w:space="0" w:color="auto"/>
                        <w:right w:val="none" w:sz="0" w:space="0" w:color="auto"/>
                      </w:divBdr>
                    </w:div>
                  </w:divsChild>
                </w:div>
                <w:div w:id="1710569802">
                  <w:marLeft w:val="0"/>
                  <w:marRight w:val="0"/>
                  <w:marTop w:val="0"/>
                  <w:marBottom w:val="0"/>
                  <w:divBdr>
                    <w:top w:val="none" w:sz="0" w:space="0" w:color="auto"/>
                    <w:left w:val="none" w:sz="0" w:space="0" w:color="auto"/>
                    <w:bottom w:val="none" w:sz="0" w:space="0" w:color="auto"/>
                    <w:right w:val="none" w:sz="0" w:space="0" w:color="auto"/>
                  </w:divBdr>
                  <w:divsChild>
                    <w:div w:id="2128815893">
                      <w:marLeft w:val="0"/>
                      <w:marRight w:val="0"/>
                      <w:marTop w:val="0"/>
                      <w:marBottom w:val="0"/>
                      <w:divBdr>
                        <w:top w:val="none" w:sz="0" w:space="0" w:color="auto"/>
                        <w:left w:val="none" w:sz="0" w:space="0" w:color="auto"/>
                        <w:bottom w:val="none" w:sz="0" w:space="0" w:color="auto"/>
                        <w:right w:val="none" w:sz="0" w:space="0" w:color="auto"/>
                      </w:divBdr>
                    </w:div>
                  </w:divsChild>
                </w:div>
                <w:div w:id="394206298">
                  <w:marLeft w:val="0"/>
                  <w:marRight w:val="0"/>
                  <w:marTop w:val="0"/>
                  <w:marBottom w:val="0"/>
                  <w:divBdr>
                    <w:top w:val="none" w:sz="0" w:space="0" w:color="auto"/>
                    <w:left w:val="none" w:sz="0" w:space="0" w:color="auto"/>
                    <w:bottom w:val="none" w:sz="0" w:space="0" w:color="auto"/>
                    <w:right w:val="none" w:sz="0" w:space="0" w:color="auto"/>
                  </w:divBdr>
                  <w:divsChild>
                    <w:div w:id="1891575538">
                      <w:marLeft w:val="0"/>
                      <w:marRight w:val="0"/>
                      <w:marTop w:val="0"/>
                      <w:marBottom w:val="0"/>
                      <w:divBdr>
                        <w:top w:val="none" w:sz="0" w:space="0" w:color="auto"/>
                        <w:left w:val="none" w:sz="0" w:space="0" w:color="auto"/>
                        <w:bottom w:val="none" w:sz="0" w:space="0" w:color="auto"/>
                        <w:right w:val="none" w:sz="0" w:space="0" w:color="auto"/>
                      </w:divBdr>
                    </w:div>
                  </w:divsChild>
                </w:div>
                <w:div w:id="2063553798">
                  <w:marLeft w:val="0"/>
                  <w:marRight w:val="0"/>
                  <w:marTop w:val="0"/>
                  <w:marBottom w:val="0"/>
                  <w:divBdr>
                    <w:top w:val="none" w:sz="0" w:space="0" w:color="auto"/>
                    <w:left w:val="none" w:sz="0" w:space="0" w:color="auto"/>
                    <w:bottom w:val="none" w:sz="0" w:space="0" w:color="auto"/>
                    <w:right w:val="none" w:sz="0" w:space="0" w:color="auto"/>
                  </w:divBdr>
                  <w:divsChild>
                    <w:div w:id="702831465">
                      <w:marLeft w:val="0"/>
                      <w:marRight w:val="0"/>
                      <w:marTop w:val="0"/>
                      <w:marBottom w:val="0"/>
                      <w:divBdr>
                        <w:top w:val="none" w:sz="0" w:space="0" w:color="auto"/>
                        <w:left w:val="none" w:sz="0" w:space="0" w:color="auto"/>
                        <w:bottom w:val="none" w:sz="0" w:space="0" w:color="auto"/>
                        <w:right w:val="none" w:sz="0" w:space="0" w:color="auto"/>
                      </w:divBdr>
                    </w:div>
                  </w:divsChild>
                </w:div>
                <w:div w:id="2124380984">
                  <w:marLeft w:val="0"/>
                  <w:marRight w:val="0"/>
                  <w:marTop w:val="0"/>
                  <w:marBottom w:val="0"/>
                  <w:divBdr>
                    <w:top w:val="none" w:sz="0" w:space="0" w:color="auto"/>
                    <w:left w:val="none" w:sz="0" w:space="0" w:color="auto"/>
                    <w:bottom w:val="none" w:sz="0" w:space="0" w:color="auto"/>
                    <w:right w:val="none" w:sz="0" w:space="0" w:color="auto"/>
                  </w:divBdr>
                  <w:divsChild>
                    <w:div w:id="1627469544">
                      <w:marLeft w:val="0"/>
                      <w:marRight w:val="0"/>
                      <w:marTop w:val="0"/>
                      <w:marBottom w:val="0"/>
                      <w:divBdr>
                        <w:top w:val="none" w:sz="0" w:space="0" w:color="auto"/>
                        <w:left w:val="none" w:sz="0" w:space="0" w:color="auto"/>
                        <w:bottom w:val="none" w:sz="0" w:space="0" w:color="auto"/>
                        <w:right w:val="none" w:sz="0" w:space="0" w:color="auto"/>
                      </w:divBdr>
                    </w:div>
                  </w:divsChild>
                </w:div>
                <w:div w:id="1331444530">
                  <w:marLeft w:val="0"/>
                  <w:marRight w:val="0"/>
                  <w:marTop w:val="0"/>
                  <w:marBottom w:val="0"/>
                  <w:divBdr>
                    <w:top w:val="none" w:sz="0" w:space="0" w:color="auto"/>
                    <w:left w:val="none" w:sz="0" w:space="0" w:color="auto"/>
                    <w:bottom w:val="none" w:sz="0" w:space="0" w:color="auto"/>
                    <w:right w:val="none" w:sz="0" w:space="0" w:color="auto"/>
                  </w:divBdr>
                  <w:divsChild>
                    <w:div w:id="1175261741">
                      <w:marLeft w:val="0"/>
                      <w:marRight w:val="0"/>
                      <w:marTop w:val="0"/>
                      <w:marBottom w:val="0"/>
                      <w:divBdr>
                        <w:top w:val="none" w:sz="0" w:space="0" w:color="auto"/>
                        <w:left w:val="none" w:sz="0" w:space="0" w:color="auto"/>
                        <w:bottom w:val="none" w:sz="0" w:space="0" w:color="auto"/>
                        <w:right w:val="none" w:sz="0" w:space="0" w:color="auto"/>
                      </w:divBdr>
                    </w:div>
                  </w:divsChild>
                </w:div>
                <w:div w:id="1720013996">
                  <w:marLeft w:val="0"/>
                  <w:marRight w:val="0"/>
                  <w:marTop w:val="0"/>
                  <w:marBottom w:val="0"/>
                  <w:divBdr>
                    <w:top w:val="none" w:sz="0" w:space="0" w:color="auto"/>
                    <w:left w:val="none" w:sz="0" w:space="0" w:color="auto"/>
                    <w:bottom w:val="none" w:sz="0" w:space="0" w:color="auto"/>
                    <w:right w:val="none" w:sz="0" w:space="0" w:color="auto"/>
                  </w:divBdr>
                  <w:divsChild>
                    <w:div w:id="129246600">
                      <w:marLeft w:val="0"/>
                      <w:marRight w:val="0"/>
                      <w:marTop w:val="0"/>
                      <w:marBottom w:val="0"/>
                      <w:divBdr>
                        <w:top w:val="none" w:sz="0" w:space="0" w:color="auto"/>
                        <w:left w:val="none" w:sz="0" w:space="0" w:color="auto"/>
                        <w:bottom w:val="none" w:sz="0" w:space="0" w:color="auto"/>
                        <w:right w:val="none" w:sz="0" w:space="0" w:color="auto"/>
                      </w:divBdr>
                    </w:div>
                  </w:divsChild>
                </w:div>
                <w:div w:id="1342781318">
                  <w:marLeft w:val="0"/>
                  <w:marRight w:val="0"/>
                  <w:marTop w:val="0"/>
                  <w:marBottom w:val="0"/>
                  <w:divBdr>
                    <w:top w:val="none" w:sz="0" w:space="0" w:color="auto"/>
                    <w:left w:val="none" w:sz="0" w:space="0" w:color="auto"/>
                    <w:bottom w:val="none" w:sz="0" w:space="0" w:color="auto"/>
                    <w:right w:val="none" w:sz="0" w:space="0" w:color="auto"/>
                  </w:divBdr>
                  <w:divsChild>
                    <w:div w:id="1926959074">
                      <w:marLeft w:val="0"/>
                      <w:marRight w:val="0"/>
                      <w:marTop w:val="0"/>
                      <w:marBottom w:val="0"/>
                      <w:divBdr>
                        <w:top w:val="none" w:sz="0" w:space="0" w:color="auto"/>
                        <w:left w:val="none" w:sz="0" w:space="0" w:color="auto"/>
                        <w:bottom w:val="none" w:sz="0" w:space="0" w:color="auto"/>
                        <w:right w:val="none" w:sz="0" w:space="0" w:color="auto"/>
                      </w:divBdr>
                    </w:div>
                  </w:divsChild>
                </w:div>
                <w:div w:id="136806358">
                  <w:marLeft w:val="0"/>
                  <w:marRight w:val="0"/>
                  <w:marTop w:val="0"/>
                  <w:marBottom w:val="0"/>
                  <w:divBdr>
                    <w:top w:val="none" w:sz="0" w:space="0" w:color="auto"/>
                    <w:left w:val="none" w:sz="0" w:space="0" w:color="auto"/>
                    <w:bottom w:val="none" w:sz="0" w:space="0" w:color="auto"/>
                    <w:right w:val="none" w:sz="0" w:space="0" w:color="auto"/>
                  </w:divBdr>
                  <w:divsChild>
                    <w:div w:id="427896619">
                      <w:marLeft w:val="0"/>
                      <w:marRight w:val="0"/>
                      <w:marTop w:val="0"/>
                      <w:marBottom w:val="0"/>
                      <w:divBdr>
                        <w:top w:val="none" w:sz="0" w:space="0" w:color="auto"/>
                        <w:left w:val="none" w:sz="0" w:space="0" w:color="auto"/>
                        <w:bottom w:val="none" w:sz="0" w:space="0" w:color="auto"/>
                        <w:right w:val="none" w:sz="0" w:space="0" w:color="auto"/>
                      </w:divBdr>
                    </w:div>
                  </w:divsChild>
                </w:div>
                <w:div w:id="1854489602">
                  <w:marLeft w:val="0"/>
                  <w:marRight w:val="0"/>
                  <w:marTop w:val="0"/>
                  <w:marBottom w:val="0"/>
                  <w:divBdr>
                    <w:top w:val="none" w:sz="0" w:space="0" w:color="auto"/>
                    <w:left w:val="none" w:sz="0" w:space="0" w:color="auto"/>
                    <w:bottom w:val="none" w:sz="0" w:space="0" w:color="auto"/>
                    <w:right w:val="none" w:sz="0" w:space="0" w:color="auto"/>
                  </w:divBdr>
                  <w:divsChild>
                    <w:div w:id="1778327570">
                      <w:marLeft w:val="0"/>
                      <w:marRight w:val="0"/>
                      <w:marTop w:val="0"/>
                      <w:marBottom w:val="0"/>
                      <w:divBdr>
                        <w:top w:val="none" w:sz="0" w:space="0" w:color="auto"/>
                        <w:left w:val="none" w:sz="0" w:space="0" w:color="auto"/>
                        <w:bottom w:val="none" w:sz="0" w:space="0" w:color="auto"/>
                        <w:right w:val="none" w:sz="0" w:space="0" w:color="auto"/>
                      </w:divBdr>
                    </w:div>
                  </w:divsChild>
                </w:div>
                <w:div w:id="181091455">
                  <w:marLeft w:val="0"/>
                  <w:marRight w:val="0"/>
                  <w:marTop w:val="0"/>
                  <w:marBottom w:val="0"/>
                  <w:divBdr>
                    <w:top w:val="none" w:sz="0" w:space="0" w:color="auto"/>
                    <w:left w:val="none" w:sz="0" w:space="0" w:color="auto"/>
                    <w:bottom w:val="none" w:sz="0" w:space="0" w:color="auto"/>
                    <w:right w:val="none" w:sz="0" w:space="0" w:color="auto"/>
                  </w:divBdr>
                  <w:divsChild>
                    <w:div w:id="1263340829">
                      <w:marLeft w:val="0"/>
                      <w:marRight w:val="0"/>
                      <w:marTop w:val="0"/>
                      <w:marBottom w:val="0"/>
                      <w:divBdr>
                        <w:top w:val="none" w:sz="0" w:space="0" w:color="auto"/>
                        <w:left w:val="none" w:sz="0" w:space="0" w:color="auto"/>
                        <w:bottom w:val="none" w:sz="0" w:space="0" w:color="auto"/>
                        <w:right w:val="none" w:sz="0" w:space="0" w:color="auto"/>
                      </w:divBdr>
                    </w:div>
                  </w:divsChild>
                </w:div>
                <w:div w:id="982467409">
                  <w:marLeft w:val="0"/>
                  <w:marRight w:val="0"/>
                  <w:marTop w:val="0"/>
                  <w:marBottom w:val="0"/>
                  <w:divBdr>
                    <w:top w:val="none" w:sz="0" w:space="0" w:color="auto"/>
                    <w:left w:val="none" w:sz="0" w:space="0" w:color="auto"/>
                    <w:bottom w:val="none" w:sz="0" w:space="0" w:color="auto"/>
                    <w:right w:val="none" w:sz="0" w:space="0" w:color="auto"/>
                  </w:divBdr>
                  <w:divsChild>
                    <w:div w:id="1583562564">
                      <w:marLeft w:val="0"/>
                      <w:marRight w:val="0"/>
                      <w:marTop w:val="0"/>
                      <w:marBottom w:val="0"/>
                      <w:divBdr>
                        <w:top w:val="none" w:sz="0" w:space="0" w:color="auto"/>
                        <w:left w:val="none" w:sz="0" w:space="0" w:color="auto"/>
                        <w:bottom w:val="none" w:sz="0" w:space="0" w:color="auto"/>
                        <w:right w:val="none" w:sz="0" w:space="0" w:color="auto"/>
                      </w:divBdr>
                    </w:div>
                  </w:divsChild>
                </w:div>
                <w:div w:id="941886797">
                  <w:marLeft w:val="0"/>
                  <w:marRight w:val="0"/>
                  <w:marTop w:val="0"/>
                  <w:marBottom w:val="0"/>
                  <w:divBdr>
                    <w:top w:val="none" w:sz="0" w:space="0" w:color="auto"/>
                    <w:left w:val="none" w:sz="0" w:space="0" w:color="auto"/>
                    <w:bottom w:val="none" w:sz="0" w:space="0" w:color="auto"/>
                    <w:right w:val="none" w:sz="0" w:space="0" w:color="auto"/>
                  </w:divBdr>
                  <w:divsChild>
                    <w:div w:id="97219196">
                      <w:marLeft w:val="0"/>
                      <w:marRight w:val="0"/>
                      <w:marTop w:val="0"/>
                      <w:marBottom w:val="0"/>
                      <w:divBdr>
                        <w:top w:val="none" w:sz="0" w:space="0" w:color="auto"/>
                        <w:left w:val="none" w:sz="0" w:space="0" w:color="auto"/>
                        <w:bottom w:val="none" w:sz="0" w:space="0" w:color="auto"/>
                        <w:right w:val="none" w:sz="0" w:space="0" w:color="auto"/>
                      </w:divBdr>
                    </w:div>
                  </w:divsChild>
                </w:div>
                <w:div w:id="1199204632">
                  <w:marLeft w:val="0"/>
                  <w:marRight w:val="0"/>
                  <w:marTop w:val="0"/>
                  <w:marBottom w:val="0"/>
                  <w:divBdr>
                    <w:top w:val="none" w:sz="0" w:space="0" w:color="auto"/>
                    <w:left w:val="none" w:sz="0" w:space="0" w:color="auto"/>
                    <w:bottom w:val="none" w:sz="0" w:space="0" w:color="auto"/>
                    <w:right w:val="none" w:sz="0" w:space="0" w:color="auto"/>
                  </w:divBdr>
                  <w:divsChild>
                    <w:div w:id="1475027639">
                      <w:marLeft w:val="0"/>
                      <w:marRight w:val="0"/>
                      <w:marTop w:val="0"/>
                      <w:marBottom w:val="0"/>
                      <w:divBdr>
                        <w:top w:val="none" w:sz="0" w:space="0" w:color="auto"/>
                        <w:left w:val="none" w:sz="0" w:space="0" w:color="auto"/>
                        <w:bottom w:val="none" w:sz="0" w:space="0" w:color="auto"/>
                        <w:right w:val="none" w:sz="0" w:space="0" w:color="auto"/>
                      </w:divBdr>
                    </w:div>
                  </w:divsChild>
                </w:div>
                <w:div w:id="77026369">
                  <w:marLeft w:val="0"/>
                  <w:marRight w:val="0"/>
                  <w:marTop w:val="0"/>
                  <w:marBottom w:val="0"/>
                  <w:divBdr>
                    <w:top w:val="none" w:sz="0" w:space="0" w:color="auto"/>
                    <w:left w:val="none" w:sz="0" w:space="0" w:color="auto"/>
                    <w:bottom w:val="none" w:sz="0" w:space="0" w:color="auto"/>
                    <w:right w:val="none" w:sz="0" w:space="0" w:color="auto"/>
                  </w:divBdr>
                  <w:divsChild>
                    <w:div w:id="1801144525">
                      <w:marLeft w:val="0"/>
                      <w:marRight w:val="0"/>
                      <w:marTop w:val="0"/>
                      <w:marBottom w:val="0"/>
                      <w:divBdr>
                        <w:top w:val="none" w:sz="0" w:space="0" w:color="auto"/>
                        <w:left w:val="none" w:sz="0" w:space="0" w:color="auto"/>
                        <w:bottom w:val="none" w:sz="0" w:space="0" w:color="auto"/>
                        <w:right w:val="none" w:sz="0" w:space="0" w:color="auto"/>
                      </w:divBdr>
                    </w:div>
                  </w:divsChild>
                </w:div>
                <w:div w:id="1431511295">
                  <w:marLeft w:val="0"/>
                  <w:marRight w:val="0"/>
                  <w:marTop w:val="0"/>
                  <w:marBottom w:val="0"/>
                  <w:divBdr>
                    <w:top w:val="none" w:sz="0" w:space="0" w:color="auto"/>
                    <w:left w:val="none" w:sz="0" w:space="0" w:color="auto"/>
                    <w:bottom w:val="none" w:sz="0" w:space="0" w:color="auto"/>
                    <w:right w:val="none" w:sz="0" w:space="0" w:color="auto"/>
                  </w:divBdr>
                  <w:divsChild>
                    <w:div w:id="1839272309">
                      <w:marLeft w:val="0"/>
                      <w:marRight w:val="0"/>
                      <w:marTop w:val="0"/>
                      <w:marBottom w:val="0"/>
                      <w:divBdr>
                        <w:top w:val="none" w:sz="0" w:space="0" w:color="auto"/>
                        <w:left w:val="none" w:sz="0" w:space="0" w:color="auto"/>
                        <w:bottom w:val="none" w:sz="0" w:space="0" w:color="auto"/>
                        <w:right w:val="none" w:sz="0" w:space="0" w:color="auto"/>
                      </w:divBdr>
                    </w:div>
                  </w:divsChild>
                </w:div>
                <w:div w:id="2038582692">
                  <w:marLeft w:val="0"/>
                  <w:marRight w:val="0"/>
                  <w:marTop w:val="0"/>
                  <w:marBottom w:val="0"/>
                  <w:divBdr>
                    <w:top w:val="none" w:sz="0" w:space="0" w:color="auto"/>
                    <w:left w:val="none" w:sz="0" w:space="0" w:color="auto"/>
                    <w:bottom w:val="none" w:sz="0" w:space="0" w:color="auto"/>
                    <w:right w:val="none" w:sz="0" w:space="0" w:color="auto"/>
                  </w:divBdr>
                  <w:divsChild>
                    <w:div w:id="1776905790">
                      <w:marLeft w:val="0"/>
                      <w:marRight w:val="0"/>
                      <w:marTop w:val="0"/>
                      <w:marBottom w:val="0"/>
                      <w:divBdr>
                        <w:top w:val="none" w:sz="0" w:space="0" w:color="auto"/>
                        <w:left w:val="none" w:sz="0" w:space="0" w:color="auto"/>
                        <w:bottom w:val="none" w:sz="0" w:space="0" w:color="auto"/>
                        <w:right w:val="none" w:sz="0" w:space="0" w:color="auto"/>
                      </w:divBdr>
                    </w:div>
                  </w:divsChild>
                </w:div>
                <w:div w:id="1033265539">
                  <w:marLeft w:val="0"/>
                  <w:marRight w:val="0"/>
                  <w:marTop w:val="0"/>
                  <w:marBottom w:val="0"/>
                  <w:divBdr>
                    <w:top w:val="none" w:sz="0" w:space="0" w:color="auto"/>
                    <w:left w:val="none" w:sz="0" w:space="0" w:color="auto"/>
                    <w:bottom w:val="none" w:sz="0" w:space="0" w:color="auto"/>
                    <w:right w:val="none" w:sz="0" w:space="0" w:color="auto"/>
                  </w:divBdr>
                  <w:divsChild>
                    <w:div w:id="552428736">
                      <w:marLeft w:val="0"/>
                      <w:marRight w:val="0"/>
                      <w:marTop w:val="0"/>
                      <w:marBottom w:val="0"/>
                      <w:divBdr>
                        <w:top w:val="none" w:sz="0" w:space="0" w:color="auto"/>
                        <w:left w:val="none" w:sz="0" w:space="0" w:color="auto"/>
                        <w:bottom w:val="none" w:sz="0" w:space="0" w:color="auto"/>
                        <w:right w:val="none" w:sz="0" w:space="0" w:color="auto"/>
                      </w:divBdr>
                    </w:div>
                  </w:divsChild>
                </w:div>
                <w:div w:id="1018892754">
                  <w:marLeft w:val="0"/>
                  <w:marRight w:val="0"/>
                  <w:marTop w:val="0"/>
                  <w:marBottom w:val="0"/>
                  <w:divBdr>
                    <w:top w:val="none" w:sz="0" w:space="0" w:color="auto"/>
                    <w:left w:val="none" w:sz="0" w:space="0" w:color="auto"/>
                    <w:bottom w:val="none" w:sz="0" w:space="0" w:color="auto"/>
                    <w:right w:val="none" w:sz="0" w:space="0" w:color="auto"/>
                  </w:divBdr>
                  <w:divsChild>
                    <w:div w:id="2318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9362">
          <w:marLeft w:val="0"/>
          <w:marRight w:val="0"/>
          <w:marTop w:val="0"/>
          <w:marBottom w:val="0"/>
          <w:divBdr>
            <w:top w:val="none" w:sz="0" w:space="0" w:color="auto"/>
            <w:left w:val="none" w:sz="0" w:space="0" w:color="auto"/>
            <w:bottom w:val="none" w:sz="0" w:space="0" w:color="auto"/>
            <w:right w:val="none" w:sz="0" w:space="0" w:color="auto"/>
          </w:divBdr>
        </w:div>
        <w:div w:id="40594081">
          <w:marLeft w:val="0"/>
          <w:marRight w:val="0"/>
          <w:marTop w:val="0"/>
          <w:marBottom w:val="0"/>
          <w:divBdr>
            <w:top w:val="none" w:sz="0" w:space="0" w:color="auto"/>
            <w:left w:val="none" w:sz="0" w:space="0" w:color="auto"/>
            <w:bottom w:val="none" w:sz="0" w:space="0" w:color="auto"/>
            <w:right w:val="none" w:sz="0" w:space="0" w:color="auto"/>
          </w:divBdr>
        </w:div>
        <w:div w:id="1721326212">
          <w:marLeft w:val="0"/>
          <w:marRight w:val="0"/>
          <w:marTop w:val="0"/>
          <w:marBottom w:val="0"/>
          <w:divBdr>
            <w:top w:val="none" w:sz="0" w:space="0" w:color="auto"/>
            <w:left w:val="none" w:sz="0" w:space="0" w:color="auto"/>
            <w:bottom w:val="none" w:sz="0" w:space="0" w:color="auto"/>
            <w:right w:val="none" w:sz="0" w:space="0" w:color="auto"/>
          </w:divBdr>
          <w:divsChild>
            <w:div w:id="1030258026">
              <w:marLeft w:val="-75"/>
              <w:marRight w:val="0"/>
              <w:marTop w:val="30"/>
              <w:marBottom w:val="30"/>
              <w:divBdr>
                <w:top w:val="none" w:sz="0" w:space="0" w:color="auto"/>
                <w:left w:val="none" w:sz="0" w:space="0" w:color="auto"/>
                <w:bottom w:val="none" w:sz="0" w:space="0" w:color="auto"/>
                <w:right w:val="none" w:sz="0" w:space="0" w:color="auto"/>
              </w:divBdr>
              <w:divsChild>
                <w:div w:id="1482575555">
                  <w:marLeft w:val="0"/>
                  <w:marRight w:val="0"/>
                  <w:marTop w:val="0"/>
                  <w:marBottom w:val="0"/>
                  <w:divBdr>
                    <w:top w:val="none" w:sz="0" w:space="0" w:color="auto"/>
                    <w:left w:val="none" w:sz="0" w:space="0" w:color="auto"/>
                    <w:bottom w:val="none" w:sz="0" w:space="0" w:color="auto"/>
                    <w:right w:val="none" w:sz="0" w:space="0" w:color="auto"/>
                  </w:divBdr>
                  <w:divsChild>
                    <w:div w:id="1511407863">
                      <w:marLeft w:val="0"/>
                      <w:marRight w:val="0"/>
                      <w:marTop w:val="0"/>
                      <w:marBottom w:val="0"/>
                      <w:divBdr>
                        <w:top w:val="none" w:sz="0" w:space="0" w:color="auto"/>
                        <w:left w:val="none" w:sz="0" w:space="0" w:color="auto"/>
                        <w:bottom w:val="none" w:sz="0" w:space="0" w:color="auto"/>
                        <w:right w:val="none" w:sz="0" w:space="0" w:color="auto"/>
                      </w:divBdr>
                    </w:div>
                  </w:divsChild>
                </w:div>
                <w:div w:id="1512184459">
                  <w:marLeft w:val="0"/>
                  <w:marRight w:val="0"/>
                  <w:marTop w:val="0"/>
                  <w:marBottom w:val="0"/>
                  <w:divBdr>
                    <w:top w:val="none" w:sz="0" w:space="0" w:color="auto"/>
                    <w:left w:val="none" w:sz="0" w:space="0" w:color="auto"/>
                    <w:bottom w:val="none" w:sz="0" w:space="0" w:color="auto"/>
                    <w:right w:val="none" w:sz="0" w:space="0" w:color="auto"/>
                  </w:divBdr>
                  <w:divsChild>
                    <w:div w:id="948707099">
                      <w:marLeft w:val="0"/>
                      <w:marRight w:val="0"/>
                      <w:marTop w:val="0"/>
                      <w:marBottom w:val="0"/>
                      <w:divBdr>
                        <w:top w:val="none" w:sz="0" w:space="0" w:color="auto"/>
                        <w:left w:val="none" w:sz="0" w:space="0" w:color="auto"/>
                        <w:bottom w:val="none" w:sz="0" w:space="0" w:color="auto"/>
                        <w:right w:val="none" w:sz="0" w:space="0" w:color="auto"/>
                      </w:divBdr>
                    </w:div>
                  </w:divsChild>
                </w:div>
                <w:div w:id="323435377">
                  <w:marLeft w:val="0"/>
                  <w:marRight w:val="0"/>
                  <w:marTop w:val="0"/>
                  <w:marBottom w:val="0"/>
                  <w:divBdr>
                    <w:top w:val="none" w:sz="0" w:space="0" w:color="auto"/>
                    <w:left w:val="none" w:sz="0" w:space="0" w:color="auto"/>
                    <w:bottom w:val="none" w:sz="0" w:space="0" w:color="auto"/>
                    <w:right w:val="none" w:sz="0" w:space="0" w:color="auto"/>
                  </w:divBdr>
                  <w:divsChild>
                    <w:div w:id="1607036182">
                      <w:marLeft w:val="0"/>
                      <w:marRight w:val="0"/>
                      <w:marTop w:val="0"/>
                      <w:marBottom w:val="0"/>
                      <w:divBdr>
                        <w:top w:val="none" w:sz="0" w:space="0" w:color="auto"/>
                        <w:left w:val="none" w:sz="0" w:space="0" w:color="auto"/>
                        <w:bottom w:val="none" w:sz="0" w:space="0" w:color="auto"/>
                        <w:right w:val="none" w:sz="0" w:space="0" w:color="auto"/>
                      </w:divBdr>
                    </w:div>
                  </w:divsChild>
                </w:div>
                <w:div w:id="1834834704">
                  <w:marLeft w:val="0"/>
                  <w:marRight w:val="0"/>
                  <w:marTop w:val="0"/>
                  <w:marBottom w:val="0"/>
                  <w:divBdr>
                    <w:top w:val="none" w:sz="0" w:space="0" w:color="auto"/>
                    <w:left w:val="none" w:sz="0" w:space="0" w:color="auto"/>
                    <w:bottom w:val="none" w:sz="0" w:space="0" w:color="auto"/>
                    <w:right w:val="none" w:sz="0" w:space="0" w:color="auto"/>
                  </w:divBdr>
                  <w:divsChild>
                    <w:div w:id="22754938">
                      <w:marLeft w:val="0"/>
                      <w:marRight w:val="0"/>
                      <w:marTop w:val="0"/>
                      <w:marBottom w:val="0"/>
                      <w:divBdr>
                        <w:top w:val="none" w:sz="0" w:space="0" w:color="auto"/>
                        <w:left w:val="none" w:sz="0" w:space="0" w:color="auto"/>
                        <w:bottom w:val="none" w:sz="0" w:space="0" w:color="auto"/>
                        <w:right w:val="none" w:sz="0" w:space="0" w:color="auto"/>
                      </w:divBdr>
                    </w:div>
                  </w:divsChild>
                </w:div>
                <w:div w:id="850604692">
                  <w:marLeft w:val="0"/>
                  <w:marRight w:val="0"/>
                  <w:marTop w:val="0"/>
                  <w:marBottom w:val="0"/>
                  <w:divBdr>
                    <w:top w:val="none" w:sz="0" w:space="0" w:color="auto"/>
                    <w:left w:val="none" w:sz="0" w:space="0" w:color="auto"/>
                    <w:bottom w:val="none" w:sz="0" w:space="0" w:color="auto"/>
                    <w:right w:val="none" w:sz="0" w:space="0" w:color="auto"/>
                  </w:divBdr>
                  <w:divsChild>
                    <w:div w:id="649670454">
                      <w:marLeft w:val="0"/>
                      <w:marRight w:val="0"/>
                      <w:marTop w:val="0"/>
                      <w:marBottom w:val="0"/>
                      <w:divBdr>
                        <w:top w:val="none" w:sz="0" w:space="0" w:color="auto"/>
                        <w:left w:val="none" w:sz="0" w:space="0" w:color="auto"/>
                        <w:bottom w:val="none" w:sz="0" w:space="0" w:color="auto"/>
                        <w:right w:val="none" w:sz="0" w:space="0" w:color="auto"/>
                      </w:divBdr>
                    </w:div>
                  </w:divsChild>
                </w:div>
                <w:div w:id="586689226">
                  <w:marLeft w:val="0"/>
                  <w:marRight w:val="0"/>
                  <w:marTop w:val="0"/>
                  <w:marBottom w:val="0"/>
                  <w:divBdr>
                    <w:top w:val="none" w:sz="0" w:space="0" w:color="auto"/>
                    <w:left w:val="none" w:sz="0" w:space="0" w:color="auto"/>
                    <w:bottom w:val="none" w:sz="0" w:space="0" w:color="auto"/>
                    <w:right w:val="none" w:sz="0" w:space="0" w:color="auto"/>
                  </w:divBdr>
                  <w:divsChild>
                    <w:div w:id="1671330235">
                      <w:marLeft w:val="0"/>
                      <w:marRight w:val="0"/>
                      <w:marTop w:val="0"/>
                      <w:marBottom w:val="0"/>
                      <w:divBdr>
                        <w:top w:val="none" w:sz="0" w:space="0" w:color="auto"/>
                        <w:left w:val="none" w:sz="0" w:space="0" w:color="auto"/>
                        <w:bottom w:val="none" w:sz="0" w:space="0" w:color="auto"/>
                        <w:right w:val="none" w:sz="0" w:space="0" w:color="auto"/>
                      </w:divBdr>
                    </w:div>
                  </w:divsChild>
                </w:div>
                <w:div w:id="361325597">
                  <w:marLeft w:val="0"/>
                  <w:marRight w:val="0"/>
                  <w:marTop w:val="0"/>
                  <w:marBottom w:val="0"/>
                  <w:divBdr>
                    <w:top w:val="none" w:sz="0" w:space="0" w:color="auto"/>
                    <w:left w:val="none" w:sz="0" w:space="0" w:color="auto"/>
                    <w:bottom w:val="none" w:sz="0" w:space="0" w:color="auto"/>
                    <w:right w:val="none" w:sz="0" w:space="0" w:color="auto"/>
                  </w:divBdr>
                  <w:divsChild>
                    <w:div w:id="661857813">
                      <w:marLeft w:val="0"/>
                      <w:marRight w:val="0"/>
                      <w:marTop w:val="0"/>
                      <w:marBottom w:val="0"/>
                      <w:divBdr>
                        <w:top w:val="none" w:sz="0" w:space="0" w:color="auto"/>
                        <w:left w:val="none" w:sz="0" w:space="0" w:color="auto"/>
                        <w:bottom w:val="none" w:sz="0" w:space="0" w:color="auto"/>
                        <w:right w:val="none" w:sz="0" w:space="0" w:color="auto"/>
                      </w:divBdr>
                    </w:div>
                  </w:divsChild>
                </w:div>
                <w:div w:id="1588727231">
                  <w:marLeft w:val="0"/>
                  <w:marRight w:val="0"/>
                  <w:marTop w:val="0"/>
                  <w:marBottom w:val="0"/>
                  <w:divBdr>
                    <w:top w:val="none" w:sz="0" w:space="0" w:color="auto"/>
                    <w:left w:val="none" w:sz="0" w:space="0" w:color="auto"/>
                    <w:bottom w:val="none" w:sz="0" w:space="0" w:color="auto"/>
                    <w:right w:val="none" w:sz="0" w:space="0" w:color="auto"/>
                  </w:divBdr>
                  <w:divsChild>
                    <w:div w:id="1306005597">
                      <w:marLeft w:val="0"/>
                      <w:marRight w:val="0"/>
                      <w:marTop w:val="0"/>
                      <w:marBottom w:val="0"/>
                      <w:divBdr>
                        <w:top w:val="none" w:sz="0" w:space="0" w:color="auto"/>
                        <w:left w:val="none" w:sz="0" w:space="0" w:color="auto"/>
                        <w:bottom w:val="none" w:sz="0" w:space="0" w:color="auto"/>
                        <w:right w:val="none" w:sz="0" w:space="0" w:color="auto"/>
                      </w:divBdr>
                    </w:div>
                  </w:divsChild>
                </w:div>
                <w:div w:id="1610578851">
                  <w:marLeft w:val="0"/>
                  <w:marRight w:val="0"/>
                  <w:marTop w:val="0"/>
                  <w:marBottom w:val="0"/>
                  <w:divBdr>
                    <w:top w:val="none" w:sz="0" w:space="0" w:color="auto"/>
                    <w:left w:val="none" w:sz="0" w:space="0" w:color="auto"/>
                    <w:bottom w:val="none" w:sz="0" w:space="0" w:color="auto"/>
                    <w:right w:val="none" w:sz="0" w:space="0" w:color="auto"/>
                  </w:divBdr>
                  <w:divsChild>
                    <w:div w:id="1623533710">
                      <w:marLeft w:val="0"/>
                      <w:marRight w:val="0"/>
                      <w:marTop w:val="0"/>
                      <w:marBottom w:val="0"/>
                      <w:divBdr>
                        <w:top w:val="none" w:sz="0" w:space="0" w:color="auto"/>
                        <w:left w:val="none" w:sz="0" w:space="0" w:color="auto"/>
                        <w:bottom w:val="none" w:sz="0" w:space="0" w:color="auto"/>
                        <w:right w:val="none" w:sz="0" w:space="0" w:color="auto"/>
                      </w:divBdr>
                    </w:div>
                  </w:divsChild>
                </w:div>
                <w:div w:id="1040665381">
                  <w:marLeft w:val="0"/>
                  <w:marRight w:val="0"/>
                  <w:marTop w:val="0"/>
                  <w:marBottom w:val="0"/>
                  <w:divBdr>
                    <w:top w:val="none" w:sz="0" w:space="0" w:color="auto"/>
                    <w:left w:val="none" w:sz="0" w:space="0" w:color="auto"/>
                    <w:bottom w:val="none" w:sz="0" w:space="0" w:color="auto"/>
                    <w:right w:val="none" w:sz="0" w:space="0" w:color="auto"/>
                  </w:divBdr>
                  <w:divsChild>
                    <w:div w:id="1311206666">
                      <w:marLeft w:val="0"/>
                      <w:marRight w:val="0"/>
                      <w:marTop w:val="0"/>
                      <w:marBottom w:val="0"/>
                      <w:divBdr>
                        <w:top w:val="none" w:sz="0" w:space="0" w:color="auto"/>
                        <w:left w:val="none" w:sz="0" w:space="0" w:color="auto"/>
                        <w:bottom w:val="none" w:sz="0" w:space="0" w:color="auto"/>
                        <w:right w:val="none" w:sz="0" w:space="0" w:color="auto"/>
                      </w:divBdr>
                    </w:div>
                  </w:divsChild>
                </w:div>
                <w:div w:id="88890539">
                  <w:marLeft w:val="0"/>
                  <w:marRight w:val="0"/>
                  <w:marTop w:val="0"/>
                  <w:marBottom w:val="0"/>
                  <w:divBdr>
                    <w:top w:val="none" w:sz="0" w:space="0" w:color="auto"/>
                    <w:left w:val="none" w:sz="0" w:space="0" w:color="auto"/>
                    <w:bottom w:val="none" w:sz="0" w:space="0" w:color="auto"/>
                    <w:right w:val="none" w:sz="0" w:space="0" w:color="auto"/>
                  </w:divBdr>
                  <w:divsChild>
                    <w:div w:id="2007317448">
                      <w:marLeft w:val="0"/>
                      <w:marRight w:val="0"/>
                      <w:marTop w:val="0"/>
                      <w:marBottom w:val="0"/>
                      <w:divBdr>
                        <w:top w:val="none" w:sz="0" w:space="0" w:color="auto"/>
                        <w:left w:val="none" w:sz="0" w:space="0" w:color="auto"/>
                        <w:bottom w:val="none" w:sz="0" w:space="0" w:color="auto"/>
                        <w:right w:val="none" w:sz="0" w:space="0" w:color="auto"/>
                      </w:divBdr>
                    </w:div>
                  </w:divsChild>
                </w:div>
                <w:div w:id="969824200">
                  <w:marLeft w:val="0"/>
                  <w:marRight w:val="0"/>
                  <w:marTop w:val="0"/>
                  <w:marBottom w:val="0"/>
                  <w:divBdr>
                    <w:top w:val="none" w:sz="0" w:space="0" w:color="auto"/>
                    <w:left w:val="none" w:sz="0" w:space="0" w:color="auto"/>
                    <w:bottom w:val="none" w:sz="0" w:space="0" w:color="auto"/>
                    <w:right w:val="none" w:sz="0" w:space="0" w:color="auto"/>
                  </w:divBdr>
                  <w:divsChild>
                    <w:div w:id="942105732">
                      <w:marLeft w:val="0"/>
                      <w:marRight w:val="0"/>
                      <w:marTop w:val="0"/>
                      <w:marBottom w:val="0"/>
                      <w:divBdr>
                        <w:top w:val="none" w:sz="0" w:space="0" w:color="auto"/>
                        <w:left w:val="none" w:sz="0" w:space="0" w:color="auto"/>
                        <w:bottom w:val="none" w:sz="0" w:space="0" w:color="auto"/>
                        <w:right w:val="none" w:sz="0" w:space="0" w:color="auto"/>
                      </w:divBdr>
                    </w:div>
                  </w:divsChild>
                </w:div>
                <w:div w:id="1020425440">
                  <w:marLeft w:val="0"/>
                  <w:marRight w:val="0"/>
                  <w:marTop w:val="0"/>
                  <w:marBottom w:val="0"/>
                  <w:divBdr>
                    <w:top w:val="none" w:sz="0" w:space="0" w:color="auto"/>
                    <w:left w:val="none" w:sz="0" w:space="0" w:color="auto"/>
                    <w:bottom w:val="none" w:sz="0" w:space="0" w:color="auto"/>
                    <w:right w:val="none" w:sz="0" w:space="0" w:color="auto"/>
                  </w:divBdr>
                  <w:divsChild>
                    <w:div w:id="1095250052">
                      <w:marLeft w:val="0"/>
                      <w:marRight w:val="0"/>
                      <w:marTop w:val="0"/>
                      <w:marBottom w:val="0"/>
                      <w:divBdr>
                        <w:top w:val="none" w:sz="0" w:space="0" w:color="auto"/>
                        <w:left w:val="none" w:sz="0" w:space="0" w:color="auto"/>
                        <w:bottom w:val="none" w:sz="0" w:space="0" w:color="auto"/>
                        <w:right w:val="none" w:sz="0" w:space="0" w:color="auto"/>
                      </w:divBdr>
                    </w:div>
                  </w:divsChild>
                </w:div>
                <w:div w:id="741561138">
                  <w:marLeft w:val="0"/>
                  <w:marRight w:val="0"/>
                  <w:marTop w:val="0"/>
                  <w:marBottom w:val="0"/>
                  <w:divBdr>
                    <w:top w:val="none" w:sz="0" w:space="0" w:color="auto"/>
                    <w:left w:val="none" w:sz="0" w:space="0" w:color="auto"/>
                    <w:bottom w:val="none" w:sz="0" w:space="0" w:color="auto"/>
                    <w:right w:val="none" w:sz="0" w:space="0" w:color="auto"/>
                  </w:divBdr>
                  <w:divsChild>
                    <w:div w:id="1556116472">
                      <w:marLeft w:val="0"/>
                      <w:marRight w:val="0"/>
                      <w:marTop w:val="0"/>
                      <w:marBottom w:val="0"/>
                      <w:divBdr>
                        <w:top w:val="none" w:sz="0" w:space="0" w:color="auto"/>
                        <w:left w:val="none" w:sz="0" w:space="0" w:color="auto"/>
                        <w:bottom w:val="none" w:sz="0" w:space="0" w:color="auto"/>
                        <w:right w:val="none" w:sz="0" w:space="0" w:color="auto"/>
                      </w:divBdr>
                    </w:div>
                  </w:divsChild>
                </w:div>
                <w:div w:id="1600599067">
                  <w:marLeft w:val="0"/>
                  <w:marRight w:val="0"/>
                  <w:marTop w:val="0"/>
                  <w:marBottom w:val="0"/>
                  <w:divBdr>
                    <w:top w:val="none" w:sz="0" w:space="0" w:color="auto"/>
                    <w:left w:val="none" w:sz="0" w:space="0" w:color="auto"/>
                    <w:bottom w:val="none" w:sz="0" w:space="0" w:color="auto"/>
                    <w:right w:val="none" w:sz="0" w:space="0" w:color="auto"/>
                  </w:divBdr>
                  <w:divsChild>
                    <w:div w:id="857432337">
                      <w:marLeft w:val="0"/>
                      <w:marRight w:val="0"/>
                      <w:marTop w:val="0"/>
                      <w:marBottom w:val="0"/>
                      <w:divBdr>
                        <w:top w:val="none" w:sz="0" w:space="0" w:color="auto"/>
                        <w:left w:val="none" w:sz="0" w:space="0" w:color="auto"/>
                        <w:bottom w:val="none" w:sz="0" w:space="0" w:color="auto"/>
                        <w:right w:val="none" w:sz="0" w:space="0" w:color="auto"/>
                      </w:divBdr>
                    </w:div>
                  </w:divsChild>
                </w:div>
                <w:div w:id="298070201">
                  <w:marLeft w:val="0"/>
                  <w:marRight w:val="0"/>
                  <w:marTop w:val="0"/>
                  <w:marBottom w:val="0"/>
                  <w:divBdr>
                    <w:top w:val="none" w:sz="0" w:space="0" w:color="auto"/>
                    <w:left w:val="none" w:sz="0" w:space="0" w:color="auto"/>
                    <w:bottom w:val="none" w:sz="0" w:space="0" w:color="auto"/>
                    <w:right w:val="none" w:sz="0" w:space="0" w:color="auto"/>
                  </w:divBdr>
                  <w:divsChild>
                    <w:div w:id="409818629">
                      <w:marLeft w:val="0"/>
                      <w:marRight w:val="0"/>
                      <w:marTop w:val="0"/>
                      <w:marBottom w:val="0"/>
                      <w:divBdr>
                        <w:top w:val="none" w:sz="0" w:space="0" w:color="auto"/>
                        <w:left w:val="none" w:sz="0" w:space="0" w:color="auto"/>
                        <w:bottom w:val="none" w:sz="0" w:space="0" w:color="auto"/>
                        <w:right w:val="none" w:sz="0" w:space="0" w:color="auto"/>
                      </w:divBdr>
                    </w:div>
                  </w:divsChild>
                </w:div>
                <w:div w:id="298145365">
                  <w:marLeft w:val="0"/>
                  <w:marRight w:val="0"/>
                  <w:marTop w:val="0"/>
                  <w:marBottom w:val="0"/>
                  <w:divBdr>
                    <w:top w:val="none" w:sz="0" w:space="0" w:color="auto"/>
                    <w:left w:val="none" w:sz="0" w:space="0" w:color="auto"/>
                    <w:bottom w:val="none" w:sz="0" w:space="0" w:color="auto"/>
                    <w:right w:val="none" w:sz="0" w:space="0" w:color="auto"/>
                  </w:divBdr>
                  <w:divsChild>
                    <w:div w:id="772751955">
                      <w:marLeft w:val="0"/>
                      <w:marRight w:val="0"/>
                      <w:marTop w:val="0"/>
                      <w:marBottom w:val="0"/>
                      <w:divBdr>
                        <w:top w:val="none" w:sz="0" w:space="0" w:color="auto"/>
                        <w:left w:val="none" w:sz="0" w:space="0" w:color="auto"/>
                        <w:bottom w:val="none" w:sz="0" w:space="0" w:color="auto"/>
                        <w:right w:val="none" w:sz="0" w:space="0" w:color="auto"/>
                      </w:divBdr>
                    </w:div>
                  </w:divsChild>
                </w:div>
                <w:div w:id="1050112937">
                  <w:marLeft w:val="0"/>
                  <w:marRight w:val="0"/>
                  <w:marTop w:val="0"/>
                  <w:marBottom w:val="0"/>
                  <w:divBdr>
                    <w:top w:val="none" w:sz="0" w:space="0" w:color="auto"/>
                    <w:left w:val="none" w:sz="0" w:space="0" w:color="auto"/>
                    <w:bottom w:val="none" w:sz="0" w:space="0" w:color="auto"/>
                    <w:right w:val="none" w:sz="0" w:space="0" w:color="auto"/>
                  </w:divBdr>
                  <w:divsChild>
                    <w:div w:id="733969748">
                      <w:marLeft w:val="0"/>
                      <w:marRight w:val="0"/>
                      <w:marTop w:val="0"/>
                      <w:marBottom w:val="0"/>
                      <w:divBdr>
                        <w:top w:val="none" w:sz="0" w:space="0" w:color="auto"/>
                        <w:left w:val="none" w:sz="0" w:space="0" w:color="auto"/>
                        <w:bottom w:val="none" w:sz="0" w:space="0" w:color="auto"/>
                        <w:right w:val="none" w:sz="0" w:space="0" w:color="auto"/>
                      </w:divBdr>
                    </w:div>
                  </w:divsChild>
                </w:div>
                <w:div w:id="2053841338">
                  <w:marLeft w:val="0"/>
                  <w:marRight w:val="0"/>
                  <w:marTop w:val="0"/>
                  <w:marBottom w:val="0"/>
                  <w:divBdr>
                    <w:top w:val="none" w:sz="0" w:space="0" w:color="auto"/>
                    <w:left w:val="none" w:sz="0" w:space="0" w:color="auto"/>
                    <w:bottom w:val="none" w:sz="0" w:space="0" w:color="auto"/>
                    <w:right w:val="none" w:sz="0" w:space="0" w:color="auto"/>
                  </w:divBdr>
                  <w:divsChild>
                    <w:div w:id="1295985874">
                      <w:marLeft w:val="0"/>
                      <w:marRight w:val="0"/>
                      <w:marTop w:val="0"/>
                      <w:marBottom w:val="0"/>
                      <w:divBdr>
                        <w:top w:val="none" w:sz="0" w:space="0" w:color="auto"/>
                        <w:left w:val="none" w:sz="0" w:space="0" w:color="auto"/>
                        <w:bottom w:val="none" w:sz="0" w:space="0" w:color="auto"/>
                        <w:right w:val="none" w:sz="0" w:space="0" w:color="auto"/>
                      </w:divBdr>
                    </w:div>
                  </w:divsChild>
                </w:div>
                <w:div w:id="1936328470">
                  <w:marLeft w:val="0"/>
                  <w:marRight w:val="0"/>
                  <w:marTop w:val="0"/>
                  <w:marBottom w:val="0"/>
                  <w:divBdr>
                    <w:top w:val="none" w:sz="0" w:space="0" w:color="auto"/>
                    <w:left w:val="none" w:sz="0" w:space="0" w:color="auto"/>
                    <w:bottom w:val="none" w:sz="0" w:space="0" w:color="auto"/>
                    <w:right w:val="none" w:sz="0" w:space="0" w:color="auto"/>
                  </w:divBdr>
                  <w:divsChild>
                    <w:div w:id="1812481612">
                      <w:marLeft w:val="0"/>
                      <w:marRight w:val="0"/>
                      <w:marTop w:val="0"/>
                      <w:marBottom w:val="0"/>
                      <w:divBdr>
                        <w:top w:val="none" w:sz="0" w:space="0" w:color="auto"/>
                        <w:left w:val="none" w:sz="0" w:space="0" w:color="auto"/>
                        <w:bottom w:val="none" w:sz="0" w:space="0" w:color="auto"/>
                        <w:right w:val="none" w:sz="0" w:space="0" w:color="auto"/>
                      </w:divBdr>
                    </w:div>
                  </w:divsChild>
                </w:div>
                <w:div w:id="1608587001">
                  <w:marLeft w:val="0"/>
                  <w:marRight w:val="0"/>
                  <w:marTop w:val="0"/>
                  <w:marBottom w:val="0"/>
                  <w:divBdr>
                    <w:top w:val="none" w:sz="0" w:space="0" w:color="auto"/>
                    <w:left w:val="none" w:sz="0" w:space="0" w:color="auto"/>
                    <w:bottom w:val="none" w:sz="0" w:space="0" w:color="auto"/>
                    <w:right w:val="none" w:sz="0" w:space="0" w:color="auto"/>
                  </w:divBdr>
                  <w:divsChild>
                    <w:div w:id="1510364539">
                      <w:marLeft w:val="0"/>
                      <w:marRight w:val="0"/>
                      <w:marTop w:val="0"/>
                      <w:marBottom w:val="0"/>
                      <w:divBdr>
                        <w:top w:val="none" w:sz="0" w:space="0" w:color="auto"/>
                        <w:left w:val="none" w:sz="0" w:space="0" w:color="auto"/>
                        <w:bottom w:val="none" w:sz="0" w:space="0" w:color="auto"/>
                        <w:right w:val="none" w:sz="0" w:space="0" w:color="auto"/>
                      </w:divBdr>
                    </w:div>
                  </w:divsChild>
                </w:div>
                <w:div w:id="2012488704">
                  <w:marLeft w:val="0"/>
                  <w:marRight w:val="0"/>
                  <w:marTop w:val="0"/>
                  <w:marBottom w:val="0"/>
                  <w:divBdr>
                    <w:top w:val="none" w:sz="0" w:space="0" w:color="auto"/>
                    <w:left w:val="none" w:sz="0" w:space="0" w:color="auto"/>
                    <w:bottom w:val="none" w:sz="0" w:space="0" w:color="auto"/>
                    <w:right w:val="none" w:sz="0" w:space="0" w:color="auto"/>
                  </w:divBdr>
                  <w:divsChild>
                    <w:div w:id="1429807680">
                      <w:marLeft w:val="0"/>
                      <w:marRight w:val="0"/>
                      <w:marTop w:val="0"/>
                      <w:marBottom w:val="0"/>
                      <w:divBdr>
                        <w:top w:val="none" w:sz="0" w:space="0" w:color="auto"/>
                        <w:left w:val="none" w:sz="0" w:space="0" w:color="auto"/>
                        <w:bottom w:val="none" w:sz="0" w:space="0" w:color="auto"/>
                        <w:right w:val="none" w:sz="0" w:space="0" w:color="auto"/>
                      </w:divBdr>
                    </w:div>
                  </w:divsChild>
                </w:div>
                <w:div w:id="1073312326">
                  <w:marLeft w:val="0"/>
                  <w:marRight w:val="0"/>
                  <w:marTop w:val="0"/>
                  <w:marBottom w:val="0"/>
                  <w:divBdr>
                    <w:top w:val="none" w:sz="0" w:space="0" w:color="auto"/>
                    <w:left w:val="none" w:sz="0" w:space="0" w:color="auto"/>
                    <w:bottom w:val="none" w:sz="0" w:space="0" w:color="auto"/>
                    <w:right w:val="none" w:sz="0" w:space="0" w:color="auto"/>
                  </w:divBdr>
                  <w:divsChild>
                    <w:div w:id="34802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03582">
          <w:marLeft w:val="0"/>
          <w:marRight w:val="0"/>
          <w:marTop w:val="0"/>
          <w:marBottom w:val="0"/>
          <w:divBdr>
            <w:top w:val="none" w:sz="0" w:space="0" w:color="auto"/>
            <w:left w:val="none" w:sz="0" w:space="0" w:color="auto"/>
            <w:bottom w:val="none" w:sz="0" w:space="0" w:color="auto"/>
            <w:right w:val="none" w:sz="0" w:space="0" w:color="auto"/>
          </w:divBdr>
        </w:div>
        <w:div w:id="2037002512">
          <w:marLeft w:val="0"/>
          <w:marRight w:val="0"/>
          <w:marTop w:val="0"/>
          <w:marBottom w:val="0"/>
          <w:divBdr>
            <w:top w:val="none" w:sz="0" w:space="0" w:color="auto"/>
            <w:left w:val="none" w:sz="0" w:space="0" w:color="auto"/>
            <w:bottom w:val="none" w:sz="0" w:space="0" w:color="auto"/>
            <w:right w:val="none" w:sz="0" w:space="0" w:color="auto"/>
          </w:divBdr>
        </w:div>
        <w:div w:id="1362127829">
          <w:marLeft w:val="0"/>
          <w:marRight w:val="0"/>
          <w:marTop w:val="0"/>
          <w:marBottom w:val="0"/>
          <w:divBdr>
            <w:top w:val="none" w:sz="0" w:space="0" w:color="auto"/>
            <w:left w:val="none" w:sz="0" w:space="0" w:color="auto"/>
            <w:bottom w:val="none" w:sz="0" w:space="0" w:color="auto"/>
            <w:right w:val="none" w:sz="0" w:space="0" w:color="auto"/>
          </w:divBdr>
        </w:div>
        <w:div w:id="2040010904">
          <w:marLeft w:val="0"/>
          <w:marRight w:val="0"/>
          <w:marTop w:val="0"/>
          <w:marBottom w:val="0"/>
          <w:divBdr>
            <w:top w:val="none" w:sz="0" w:space="0" w:color="auto"/>
            <w:left w:val="none" w:sz="0" w:space="0" w:color="auto"/>
            <w:bottom w:val="none" w:sz="0" w:space="0" w:color="auto"/>
            <w:right w:val="none" w:sz="0" w:space="0" w:color="auto"/>
          </w:divBdr>
        </w:div>
        <w:div w:id="335421140">
          <w:marLeft w:val="0"/>
          <w:marRight w:val="0"/>
          <w:marTop w:val="0"/>
          <w:marBottom w:val="0"/>
          <w:divBdr>
            <w:top w:val="none" w:sz="0" w:space="0" w:color="auto"/>
            <w:left w:val="none" w:sz="0" w:space="0" w:color="auto"/>
            <w:bottom w:val="none" w:sz="0" w:space="0" w:color="auto"/>
            <w:right w:val="none" w:sz="0" w:space="0" w:color="auto"/>
          </w:divBdr>
        </w:div>
        <w:div w:id="837502244">
          <w:marLeft w:val="0"/>
          <w:marRight w:val="0"/>
          <w:marTop w:val="0"/>
          <w:marBottom w:val="0"/>
          <w:divBdr>
            <w:top w:val="none" w:sz="0" w:space="0" w:color="auto"/>
            <w:left w:val="none" w:sz="0" w:space="0" w:color="auto"/>
            <w:bottom w:val="none" w:sz="0" w:space="0" w:color="auto"/>
            <w:right w:val="none" w:sz="0" w:space="0" w:color="auto"/>
          </w:divBdr>
        </w:div>
        <w:div w:id="351567183">
          <w:marLeft w:val="0"/>
          <w:marRight w:val="0"/>
          <w:marTop w:val="0"/>
          <w:marBottom w:val="0"/>
          <w:divBdr>
            <w:top w:val="none" w:sz="0" w:space="0" w:color="auto"/>
            <w:left w:val="none" w:sz="0" w:space="0" w:color="auto"/>
            <w:bottom w:val="none" w:sz="0" w:space="0" w:color="auto"/>
            <w:right w:val="none" w:sz="0" w:space="0" w:color="auto"/>
          </w:divBdr>
        </w:div>
        <w:div w:id="1844709862">
          <w:marLeft w:val="0"/>
          <w:marRight w:val="0"/>
          <w:marTop w:val="0"/>
          <w:marBottom w:val="0"/>
          <w:divBdr>
            <w:top w:val="none" w:sz="0" w:space="0" w:color="auto"/>
            <w:left w:val="none" w:sz="0" w:space="0" w:color="auto"/>
            <w:bottom w:val="none" w:sz="0" w:space="0" w:color="auto"/>
            <w:right w:val="none" w:sz="0" w:space="0" w:color="auto"/>
          </w:divBdr>
        </w:div>
        <w:div w:id="1277517194">
          <w:marLeft w:val="0"/>
          <w:marRight w:val="0"/>
          <w:marTop w:val="0"/>
          <w:marBottom w:val="0"/>
          <w:divBdr>
            <w:top w:val="none" w:sz="0" w:space="0" w:color="auto"/>
            <w:left w:val="none" w:sz="0" w:space="0" w:color="auto"/>
            <w:bottom w:val="none" w:sz="0" w:space="0" w:color="auto"/>
            <w:right w:val="none" w:sz="0" w:space="0" w:color="auto"/>
          </w:divBdr>
          <w:divsChild>
            <w:div w:id="410811739">
              <w:marLeft w:val="-75"/>
              <w:marRight w:val="0"/>
              <w:marTop w:val="30"/>
              <w:marBottom w:val="30"/>
              <w:divBdr>
                <w:top w:val="none" w:sz="0" w:space="0" w:color="auto"/>
                <w:left w:val="none" w:sz="0" w:space="0" w:color="auto"/>
                <w:bottom w:val="none" w:sz="0" w:space="0" w:color="auto"/>
                <w:right w:val="none" w:sz="0" w:space="0" w:color="auto"/>
              </w:divBdr>
              <w:divsChild>
                <w:div w:id="1420909021">
                  <w:marLeft w:val="0"/>
                  <w:marRight w:val="0"/>
                  <w:marTop w:val="0"/>
                  <w:marBottom w:val="0"/>
                  <w:divBdr>
                    <w:top w:val="none" w:sz="0" w:space="0" w:color="auto"/>
                    <w:left w:val="none" w:sz="0" w:space="0" w:color="auto"/>
                    <w:bottom w:val="none" w:sz="0" w:space="0" w:color="auto"/>
                    <w:right w:val="none" w:sz="0" w:space="0" w:color="auto"/>
                  </w:divBdr>
                  <w:divsChild>
                    <w:div w:id="1152143181">
                      <w:marLeft w:val="0"/>
                      <w:marRight w:val="0"/>
                      <w:marTop w:val="0"/>
                      <w:marBottom w:val="0"/>
                      <w:divBdr>
                        <w:top w:val="none" w:sz="0" w:space="0" w:color="auto"/>
                        <w:left w:val="none" w:sz="0" w:space="0" w:color="auto"/>
                        <w:bottom w:val="none" w:sz="0" w:space="0" w:color="auto"/>
                        <w:right w:val="none" w:sz="0" w:space="0" w:color="auto"/>
                      </w:divBdr>
                    </w:div>
                  </w:divsChild>
                </w:div>
                <w:div w:id="269168604">
                  <w:marLeft w:val="0"/>
                  <w:marRight w:val="0"/>
                  <w:marTop w:val="0"/>
                  <w:marBottom w:val="0"/>
                  <w:divBdr>
                    <w:top w:val="none" w:sz="0" w:space="0" w:color="auto"/>
                    <w:left w:val="none" w:sz="0" w:space="0" w:color="auto"/>
                    <w:bottom w:val="none" w:sz="0" w:space="0" w:color="auto"/>
                    <w:right w:val="none" w:sz="0" w:space="0" w:color="auto"/>
                  </w:divBdr>
                  <w:divsChild>
                    <w:div w:id="417024362">
                      <w:marLeft w:val="0"/>
                      <w:marRight w:val="0"/>
                      <w:marTop w:val="0"/>
                      <w:marBottom w:val="0"/>
                      <w:divBdr>
                        <w:top w:val="none" w:sz="0" w:space="0" w:color="auto"/>
                        <w:left w:val="none" w:sz="0" w:space="0" w:color="auto"/>
                        <w:bottom w:val="none" w:sz="0" w:space="0" w:color="auto"/>
                        <w:right w:val="none" w:sz="0" w:space="0" w:color="auto"/>
                      </w:divBdr>
                    </w:div>
                  </w:divsChild>
                </w:div>
                <w:div w:id="980354382">
                  <w:marLeft w:val="0"/>
                  <w:marRight w:val="0"/>
                  <w:marTop w:val="0"/>
                  <w:marBottom w:val="0"/>
                  <w:divBdr>
                    <w:top w:val="none" w:sz="0" w:space="0" w:color="auto"/>
                    <w:left w:val="none" w:sz="0" w:space="0" w:color="auto"/>
                    <w:bottom w:val="none" w:sz="0" w:space="0" w:color="auto"/>
                    <w:right w:val="none" w:sz="0" w:space="0" w:color="auto"/>
                  </w:divBdr>
                  <w:divsChild>
                    <w:div w:id="856314263">
                      <w:marLeft w:val="0"/>
                      <w:marRight w:val="0"/>
                      <w:marTop w:val="0"/>
                      <w:marBottom w:val="0"/>
                      <w:divBdr>
                        <w:top w:val="none" w:sz="0" w:space="0" w:color="auto"/>
                        <w:left w:val="none" w:sz="0" w:space="0" w:color="auto"/>
                        <w:bottom w:val="none" w:sz="0" w:space="0" w:color="auto"/>
                        <w:right w:val="none" w:sz="0" w:space="0" w:color="auto"/>
                      </w:divBdr>
                    </w:div>
                    <w:div w:id="688333978">
                      <w:marLeft w:val="0"/>
                      <w:marRight w:val="0"/>
                      <w:marTop w:val="0"/>
                      <w:marBottom w:val="0"/>
                      <w:divBdr>
                        <w:top w:val="none" w:sz="0" w:space="0" w:color="auto"/>
                        <w:left w:val="none" w:sz="0" w:space="0" w:color="auto"/>
                        <w:bottom w:val="none" w:sz="0" w:space="0" w:color="auto"/>
                        <w:right w:val="none" w:sz="0" w:space="0" w:color="auto"/>
                      </w:divBdr>
                    </w:div>
                  </w:divsChild>
                </w:div>
                <w:div w:id="299850032">
                  <w:marLeft w:val="0"/>
                  <w:marRight w:val="0"/>
                  <w:marTop w:val="0"/>
                  <w:marBottom w:val="0"/>
                  <w:divBdr>
                    <w:top w:val="none" w:sz="0" w:space="0" w:color="auto"/>
                    <w:left w:val="none" w:sz="0" w:space="0" w:color="auto"/>
                    <w:bottom w:val="none" w:sz="0" w:space="0" w:color="auto"/>
                    <w:right w:val="none" w:sz="0" w:space="0" w:color="auto"/>
                  </w:divBdr>
                  <w:divsChild>
                    <w:div w:id="2024086814">
                      <w:marLeft w:val="0"/>
                      <w:marRight w:val="0"/>
                      <w:marTop w:val="0"/>
                      <w:marBottom w:val="0"/>
                      <w:divBdr>
                        <w:top w:val="none" w:sz="0" w:space="0" w:color="auto"/>
                        <w:left w:val="none" w:sz="0" w:space="0" w:color="auto"/>
                        <w:bottom w:val="none" w:sz="0" w:space="0" w:color="auto"/>
                        <w:right w:val="none" w:sz="0" w:space="0" w:color="auto"/>
                      </w:divBdr>
                    </w:div>
                  </w:divsChild>
                </w:div>
                <w:div w:id="221332044">
                  <w:marLeft w:val="0"/>
                  <w:marRight w:val="0"/>
                  <w:marTop w:val="0"/>
                  <w:marBottom w:val="0"/>
                  <w:divBdr>
                    <w:top w:val="none" w:sz="0" w:space="0" w:color="auto"/>
                    <w:left w:val="none" w:sz="0" w:space="0" w:color="auto"/>
                    <w:bottom w:val="none" w:sz="0" w:space="0" w:color="auto"/>
                    <w:right w:val="none" w:sz="0" w:space="0" w:color="auto"/>
                  </w:divBdr>
                  <w:divsChild>
                    <w:div w:id="529104198">
                      <w:marLeft w:val="0"/>
                      <w:marRight w:val="0"/>
                      <w:marTop w:val="0"/>
                      <w:marBottom w:val="0"/>
                      <w:divBdr>
                        <w:top w:val="none" w:sz="0" w:space="0" w:color="auto"/>
                        <w:left w:val="none" w:sz="0" w:space="0" w:color="auto"/>
                        <w:bottom w:val="none" w:sz="0" w:space="0" w:color="auto"/>
                        <w:right w:val="none" w:sz="0" w:space="0" w:color="auto"/>
                      </w:divBdr>
                    </w:div>
                  </w:divsChild>
                </w:div>
                <w:div w:id="1356342117">
                  <w:marLeft w:val="0"/>
                  <w:marRight w:val="0"/>
                  <w:marTop w:val="0"/>
                  <w:marBottom w:val="0"/>
                  <w:divBdr>
                    <w:top w:val="none" w:sz="0" w:space="0" w:color="auto"/>
                    <w:left w:val="none" w:sz="0" w:space="0" w:color="auto"/>
                    <w:bottom w:val="none" w:sz="0" w:space="0" w:color="auto"/>
                    <w:right w:val="none" w:sz="0" w:space="0" w:color="auto"/>
                  </w:divBdr>
                  <w:divsChild>
                    <w:div w:id="1747150417">
                      <w:marLeft w:val="0"/>
                      <w:marRight w:val="0"/>
                      <w:marTop w:val="0"/>
                      <w:marBottom w:val="0"/>
                      <w:divBdr>
                        <w:top w:val="none" w:sz="0" w:space="0" w:color="auto"/>
                        <w:left w:val="none" w:sz="0" w:space="0" w:color="auto"/>
                        <w:bottom w:val="none" w:sz="0" w:space="0" w:color="auto"/>
                        <w:right w:val="none" w:sz="0" w:space="0" w:color="auto"/>
                      </w:divBdr>
                    </w:div>
                  </w:divsChild>
                </w:div>
                <w:div w:id="2029331514">
                  <w:marLeft w:val="0"/>
                  <w:marRight w:val="0"/>
                  <w:marTop w:val="0"/>
                  <w:marBottom w:val="0"/>
                  <w:divBdr>
                    <w:top w:val="none" w:sz="0" w:space="0" w:color="auto"/>
                    <w:left w:val="none" w:sz="0" w:space="0" w:color="auto"/>
                    <w:bottom w:val="none" w:sz="0" w:space="0" w:color="auto"/>
                    <w:right w:val="none" w:sz="0" w:space="0" w:color="auto"/>
                  </w:divBdr>
                  <w:divsChild>
                    <w:div w:id="2062098013">
                      <w:marLeft w:val="0"/>
                      <w:marRight w:val="0"/>
                      <w:marTop w:val="0"/>
                      <w:marBottom w:val="0"/>
                      <w:divBdr>
                        <w:top w:val="none" w:sz="0" w:space="0" w:color="auto"/>
                        <w:left w:val="none" w:sz="0" w:space="0" w:color="auto"/>
                        <w:bottom w:val="none" w:sz="0" w:space="0" w:color="auto"/>
                        <w:right w:val="none" w:sz="0" w:space="0" w:color="auto"/>
                      </w:divBdr>
                    </w:div>
                  </w:divsChild>
                </w:div>
                <w:div w:id="1587612980">
                  <w:marLeft w:val="0"/>
                  <w:marRight w:val="0"/>
                  <w:marTop w:val="0"/>
                  <w:marBottom w:val="0"/>
                  <w:divBdr>
                    <w:top w:val="none" w:sz="0" w:space="0" w:color="auto"/>
                    <w:left w:val="none" w:sz="0" w:space="0" w:color="auto"/>
                    <w:bottom w:val="none" w:sz="0" w:space="0" w:color="auto"/>
                    <w:right w:val="none" w:sz="0" w:space="0" w:color="auto"/>
                  </w:divBdr>
                  <w:divsChild>
                    <w:div w:id="1227380754">
                      <w:marLeft w:val="0"/>
                      <w:marRight w:val="0"/>
                      <w:marTop w:val="0"/>
                      <w:marBottom w:val="0"/>
                      <w:divBdr>
                        <w:top w:val="none" w:sz="0" w:space="0" w:color="auto"/>
                        <w:left w:val="none" w:sz="0" w:space="0" w:color="auto"/>
                        <w:bottom w:val="none" w:sz="0" w:space="0" w:color="auto"/>
                        <w:right w:val="none" w:sz="0" w:space="0" w:color="auto"/>
                      </w:divBdr>
                    </w:div>
                  </w:divsChild>
                </w:div>
                <w:div w:id="1020858768">
                  <w:marLeft w:val="0"/>
                  <w:marRight w:val="0"/>
                  <w:marTop w:val="0"/>
                  <w:marBottom w:val="0"/>
                  <w:divBdr>
                    <w:top w:val="none" w:sz="0" w:space="0" w:color="auto"/>
                    <w:left w:val="none" w:sz="0" w:space="0" w:color="auto"/>
                    <w:bottom w:val="none" w:sz="0" w:space="0" w:color="auto"/>
                    <w:right w:val="none" w:sz="0" w:space="0" w:color="auto"/>
                  </w:divBdr>
                  <w:divsChild>
                    <w:div w:id="48308950">
                      <w:marLeft w:val="0"/>
                      <w:marRight w:val="0"/>
                      <w:marTop w:val="0"/>
                      <w:marBottom w:val="0"/>
                      <w:divBdr>
                        <w:top w:val="none" w:sz="0" w:space="0" w:color="auto"/>
                        <w:left w:val="none" w:sz="0" w:space="0" w:color="auto"/>
                        <w:bottom w:val="none" w:sz="0" w:space="0" w:color="auto"/>
                        <w:right w:val="none" w:sz="0" w:space="0" w:color="auto"/>
                      </w:divBdr>
                    </w:div>
                    <w:div w:id="224220192">
                      <w:marLeft w:val="0"/>
                      <w:marRight w:val="0"/>
                      <w:marTop w:val="0"/>
                      <w:marBottom w:val="0"/>
                      <w:divBdr>
                        <w:top w:val="none" w:sz="0" w:space="0" w:color="auto"/>
                        <w:left w:val="none" w:sz="0" w:space="0" w:color="auto"/>
                        <w:bottom w:val="none" w:sz="0" w:space="0" w:color="auto"/>
                        <w:right w:val="none" w:sz="0" w:space="0" w:color="auto"/>
                      </w:divBdr>
                    </w:div>
                    <w:div w:id="25639466">
                      <w:marLeft w:val="0"/>
                      <w:marRight w:val="0"/>
                      <w:marTop w:val="0"/>
                      <w:marBottom w:val="0"/>
                      <w:divBdr>
                        <w:top w:val="none" w:sz="0" w:space="0" w:color="auto"/>
                        <w:left w:val="none" w:sz="0" w:space="0" w:color="auto"/>
                        <w:bottom w:val="none" w:sz="0" w:space="0" w:color="auto"/>
                        <w:right w:val="none" w:sz="0" w:space="0" w:color="auto"/>
                      </w:divBdr>
                    </w:div>
                    <w:div w:id="1920020615">
                      <w:marLeft w:val="0"/>
                      <w:marRight w:val="0"/>
                      <w:marTop w:val="0"/>
                      <w:marBottom w:val="0"/>
                      <w:divBdr>
                        <w:top w:val="none" w:sz="0" w:space="0" w:color="auto"/>
                        <w:left w:val="none" w:sz="0" w:space="0" w:color="auto"/>
                        <w:bottom w:val="none" w:sz="0" w:space="0" w:color="auto"/>
                        <w:right w:val="none" w:sz="0" w:space="0" w:color="auto"/>
                      </w:divBdr>
                    </w:div>
                  </w:divsChild>
                </w:div>
                <w:div w:id="1671830307">
                  <w:marLeft w:val="0"/>
                  <w:marRight w:val="0"/>
                  <w:marTop w:val="0"/>
                  <w:marBottom w:val="0"/>
                  <w:divBdr>
                    <w:top w:val="none" w:sz="0" w:space="0" w:color="auto"/>
                    <w:left w:val="none" w:sz="0" w:space="0" w:color="auto"/>
                    <w:bottom w:val="none" w:sz="0" w:space="0" w:color="auto"/>
                    <w:right w:val="none" w:sz="0" w:space="0" w:color="auto"/>
                  </w:divBdr>
                  <w:divsChild>
                    <w:div w:id="1452089983">
                      <w:marLeft w:val="0"/>
                      <w:marRight w:val="0"/>
                      <w:marTop w:val="0"/>
                      <w:marBottom w:val="0"/>
                      <w:divBdr>
                        <w:top w:val="none" w:sz="0" w:space="0" w:color="auto"/>
                        <w:left w:val="none" w:sz="0" w:space="0" w:color="auto"/>
                        <w:bottom w:val="none" w:sz="0" w:space="0" w:color="auto"/>
                        <w:right w:val="none" w:sz="0" w:space="0" w:color="auto"/>
                      </w:divBdr>
                    </w:div>
                  </w:divsChild>
                </w:div>
                <w:div w:id="1110659223">
                  <w:marLeft w:val="0"/>
                  <w:marRight w:val="0"/>
                  <w:marTop w:val="0"/>
                  <w:marBottom w:val="0"/>
                  <w:divBdr>
                    <w:top w:val="none" w:sz="0" w:space="0" w:color="auto"/>
                    <w:left w:val="none" w:sz="0" w:space="0" w:color="auto"/>
                    <w:bottom w:val="none" w:sz="0" w:space="0" w:color="auto"/>
                    <w:right w:val="none" w:sz="0" w:space="0" w:color="auto"/>
                  </w:divBdr>
                  <w:divsChild>
                    <w:div w:id="256258457">
                      <w:marLeft w:val="0"/>
                      <w:marRight w:val="0"/>
                      <w:marTop w:val="0"/>
                      <w:marBottom w:val="0"/>
                      <w:divBdr>
                        <w:top w:val="none" w:sz="0" w:space="0" w:color="auto"/>
                        <w:left w:val="none" w:sz="0" w:space="0" w:color="auto"/>
                        <w:bottom w:val="none" w:sz="0" w:space="0" w:color="auto"/>
                        <w:right w:val="none" w:sz="0" w:space="0" w:color="auto"/>
                      </w:divBdr>
                    </w:div>
                  </w:divsChild>
                </w:div>
                <w:div w:id="263995500">
                  <w:marLeft w:val="0"/>
                  <w:marRight w:val="0"/>
                  <w:marTop w:val="0"/>
                  <w:marBottom w:val="0"/>
                  <w:divBdr>
                    <w:top w:val="none" w:sz="0" w:space="0" w:color="auto"/>
                    <w:left w:val="none" w:sz="0" w:space="0" w:color="auto"/>
                    <w:bottom w:val="none" w:sz="0" w:space="0" w:color="auto"/>
                    <w:right w:val="none" w:sz="0" w:space="0" w:color="auto"/>
                  </w:divBdr>
                  <w:divsChild>
                    <w:div w:id="1211843412">
                      <w:marLeft w:val="0"/>
                      <w:marRight w:val="0"/>
                      <w:marTop w:val="0"/>
                      <w:marBottom w:val="0"/>
                      <w:divBdr>
                        <w:top w:val="none" w:sz="0" w:space="0" w:color="auto"/>
                        <w:left w:val="none" w:sz="0" w:space="0" w:color="auto"/>
                        <w:bottom w:val="none" w:sz="0" w:space="0" w:color="auto"/>
                        <w:right w:val="none" w:sz="0" w:space="0" w:color="auto"/>
                      </w:divBdr>
                    </w:div>
                  </w:divsChild>
                </w:div>
                <w:div w:id="1242987016">
                  <w:marLeft w:val="0"/>
                  <w:marRight w:val="0"/>
                  <w:marTop w:val="0"/>
                  <w:marBottom w:val="0"/>
                  <w:divBdr>
                    <w:top w:val="none" w:sz="0" w:space="0" w:color="auto"/>
                    <w:left w:val="none" w:sz="0" w:space="0" w:color="auto"/>
                    <w:bottom w:val="none" w:sz="0" w:space="0" w:color="auto"/>
                    <w:right w:val="none" w:sz="0" w:space="0" w:color="auto"/>
                  </w:divBdr>
                  <w:divsChild>
                    <w:div w:id="819200439">
                      <w:marLeft w:val="0"/>
                      <w:marRight w:val="0"/>
                      <w:marTop w:val="0"/>
                      <w:marBottom w:val="0"/>
                      <w:divBdr>
                        <w:top w:val="none" w:sz="0" w:space="0" w:color="auto"/>
                        <w:left w:val="none" w:sz="0" w:space="0" w:color="auto"/>
                        <w:bottom w:val="none" w:sz="0" w:space="0" w:color="auto"/>
                        <w:right w:val="none" w:sz="0" w:space="0" w:color="auto"/>
                      </w:divBdr>
                    </w:div>
                  </w:divsChild>
                </w:div>
                <w:div w:id="386227832">
                  <w:marLeft w:val="0"/>
                  <w:marRight w:val="0"/>
                  <w:marTop w:val="0"/>
                  <w:marBottom w:val="0"/>
                  <w:divBdr>
                    <w:top w:val="none" w:sz="0" w:space="0" w:color="auto"/>
                    <w:left w:val="none" w:sz="0" w:space="0" w:color="auto"/>
                    <w:bottom w:val="none" w:sz="0" w:space="0" w:color="auto"/>
                    <w:right w:val="none" w:sz="0" w:space="0" w:color="auto"/>
                  </w:divBdr>
                  <w:divsChild>
                    <w:div w:id="791675741">
                      <w:marLeft w:val="0"/>
                      <w:marRight w:val="0"/>
                      <w:marTop w:val="0"/>
                      <w:marBottom w:val="0"/>
                      <w:divBdr>
                        <w:top w:val="none" w:sz="0" w:space="0" w:color="auto"/>
                        <w:left w:val="none" w:sz="0" w:space="0" w:color="auto"/>
                        <w:bottom w:val="none" w:sz="0" w:space="0" w:color="auto"/>
                        <w:right w:val="none" w:sz="0" w:space="0" w:color="auto"/>
                      </w:divBdr>
                    </w:div>
                  </w:divsChild>
                </w:div>
                <w:div w:id="164131154">
                  <w:marLeft w:val="0"/>
                  <w:marRight w:val="0"/>
                  <w:marTop w:val="0"/>
                  <w:marBottom w:val="0"/>
                  <w:divBdr>
                    <w:top w:val="none" w:sz="0" w:space="0" w:color="auto"/>
                    <w:left w:val="none" w:sz="0" w:space="0" w:color="auto"/>
                    <w:bottom w:val="none" w:sz="0" w:space="0" w:color="auto"/>
                    <w:right w:val="none" w:sz="0" w:space="0" w:color="auto"/>
                  </w:divBdr>
                  <w:divsChild>
                    <w:div w:id="692339373">
                      <w:marLeft w:val="0"/>
                      <w:marRight w:val="0"/>
                      <w:marTop w:val="0"/>
                      <w:marBottom w:val="0"/>
                      <w:divBdr>
                        <w:top w:val="none" w:sz="0" w:space="0" w:color="auto"/>
                        <w:left w:val="none" w:sz="0" w:space="0" w:color="auto"/>
                        <w:bottom w:val="none" w:sz="0" w:space="0" w:color="auto"/>
                        <w:right w:val="none" w:sz="0" w:space="0" w:color="auto"/>
                      </w:divBdr>
                    </w:div>
                  </w:divsChild>
                </w:div>
                <w:div w:id="845025195">
                  <w:marLeft w:val="0"/>
                  <w:marRight w:val="0"/>
                  <w:marTop w:val="0"/>
                  <w:marBottom w:val="0"/>
                  <w:divBdr>
                    <w:top w:val="none" w:sz="0" w:space="0" w:color="auto"/>
                    <w:left w:val="none" w:sz="0" w:space="0" w:color="auto"/>
                    <w:bottom w:val="none" w:sz="0" w:space="0" w:color="auto"/>
                    <w:right w:val="none" w:sz="0" w:space="0" w:color="auto"/>
                  </w:divBdr>
                  <w:divsChild>
                    <w:div w:id="2117019649">
                      <w:marLeft w:val="0"/>
                      <w:marRight w:val="0"/>
                      <w:marTop w:val="0"/>
                      <w:marBottom w:val="0"/>
                      <w:divBdr>
                        <w:top w:val="none" w:sz="0" w:space="0" w:color="auto"/>
                        <w:left w:val="none" w:sz="0" w:space="0" w:color="auto"/>
                        <w:bottom w:val="none" w:sz="0" w:space="0" w:color="auto"/>
                        <w:right w:val="none" w:sz="0" w:space="0" w:color="auto"/>
                      </w:divBdr>
                    </w:div>
                  </w:divsChild>
                </w:div>
                <w:div w:id="1582983672">
                  <w:marLeft w:val="0"/>
                  <w:marRight w:val="0"/>
                  <w:marTop w:val="0"/>
                  <w:marBottom w:val="0"/>
                  <w:divBdr>
                    <w:top w:val="none" w:sz="0" w:space="0" w:color="auto"/>
                    <w:left w:val="none" w:sz="0" w:space="0" w:color="auto"/>
                    <w:bottom w:val="none" w:sz="0" w:space="0" w:color="auto"/>
                    <w:right w:val="none" w:sz="0" w:space="0" w:color="auto"/>
                  </w:divBdr>
                  <w:divsChild>
                    <w:div w:id="533075488">
                      <w:marLeft w:val="0"/>
                      <w:marRight w:val="0"/>
                      <w:marTop w:val="0"/>
                      <w:marBottom w:val="0"/>
                      <w:divBdr>
                        <w:top w:val="none" w:sz="0" w:space="0" w:color="auto"/>
                        <w:left w:val="none" w:sz="0" w:space="0" w:color="auto"/>
                        <w:bottom w:val="none" w:sz="0" w:space="0" w:color="auto"/>
                        <w:right w:val="none" w:sz="0" w:space="0" w:color="auto"/>
                      </w:divBdr>
                    </w:div>
                  </w:divsChild>
                </w:div>
                <w:div w:id="1202208427">
                  <w:marLeft w:val="0"/>
                  <w:marRight w:val="0"/>
                  <w:marTop w:val="0"/>
                  <w:marBottom w:val="0"/>
                  <w:divBdr>
                    <w:top w:val="none" w:sz="0" w:space="0" w:color="auto"/>
                    <w:left w:val="none" w:sz="0" w:space="0" w:color="auto"/>
                    <w:bottom w:val="none" w:sz="0" w:space="0" w:color="auto"/>
                    <w:right w:val="none" w:sz="0" w:space="0" w:color="auto"/>
                  </w:divBdr>
                  <w:divsChild>
                    <w:div w:id="2108697485">
                      <w:marLeft w:val="0"/>
                      <w:marRight w:val="0"/>
                      <w:marTop w:val="0"/>
                      <w:marBottom w:val="0"/>
                      <w:divBdr>
                        <w:top w:val="none" w:sz="0" w:space="0" w:color="auto"/>
                        <w:left w:val="none" w:sz="0" w:space="0" w:color="auto"/>
                        <w:bottom w:val="none" w:sz="0" w:space="0" w:color="auto"/>
                        <w:right w:val="none" w:sz="0" w:space="0" w:color="auto"/>
                      </w:divBdr>
                    </w:div>
                  </w:divsChild>
                </w:div>
                <w:div w:id="1668240391">
                  <w:marLeft w:val="0"/>
                  <w:marRight w:val="0"/>
                  <w:marTop w:val="0"/>
                  <w:marBottom w:val="0"/>
                  <w:divBdr>
                    <w:top w:val="none" w:sz="0" w:space="0" w:color="auto"/>
                    <w:left w:val="none" w:sz="0" w:space="0" w:color="auto"/>
                    <w:bottom w:val="none" w:sz="0" w:space="0" w:color="auto"/>
                    <w:right w:val="none" w:sz="0" w:space="0" w:color="auto"/>
                  </w:divBdr>
                  <w:divsChild>
                    <w:div w:id="836194546">
                      <w:marLeft w:val="0"/>
                      <w:marRight w:val="0"/>
                      <w:marTop w:val="0"/>
                      <w:marBottom w:val="0"/>
                      <w:divBdr>
                        <w:top w:val="none" w:sz="0" w:space="0" w:color="auto"/>
                        <w:left w:val="none" w:sz="0" w:space="0" w:color="auto"/>
                        <w:bottom w:val="none" w:sz="0" w:space="0" w:color="auto"/>
                        <w:right w:val="none" w:sz="0" w:space="0" w:color="auto"/>
                      </w:divBdr>
                    </w:div>
                  </w:divsChild>
                </w:div>
                <w:div w:id="1990401320">
                  <w:marLeft w:val="0"/>
                  <w:marRight w:val="0"/>
                  <w:marTop w:val="0"/>
                  <w:marBottom w:val="0"/>
                  <w:divBdr>
                    <w:top w:val="none" w:sz="0" w:space="0" w:color="auto"/>
                    <w:left w:val="none" w:sz="0" w:space="0" w:color="auto"/>
                    <w:bottom w:val="none" w:sz="0" w:space="0" w:color="auto"/>
                    <w:right w:val="none" w:sz="0" w:space="0" w:color="auto"/>
                  </w:divBdr>
                  <w:divsChild>
                    <w:div w:id="620065132">
                      <w:marLeft w:val="0"/>
                      <w:marRight w:val="0"/>
                      <w:marTop w:val="0"/>
                      <w:marBottom w:val="0"/>
                      <w:divBdr>
                        <w:top w:val="none" w:sz="0" w:space="0" w:color="auto"/>
                        <w:left w:val="none" w:sz="0" w:space="0" w:color="auto"/>
                        <w:bottom w:val="none" w:sz="0" w:space="0" w:color="auto"/>
                        <w:right w:val="none" w:sz="0" w:space="0" w:color="auto"/>
                      </w:divBdr>
                    </w:div>
                  </w:divsChild>
                </w:div>
                <w:div w:id="503862135">
                  <w:marLeft w:val="0"/>
                  <w:marRight w:val="0"/>
                  <w:marTop w:val="0"/>
                  <w:marBottom w:val="0"/>
                  <w:divBdr>
                    <w:top w:val="none" w:sz="0" w:space="0" w:color="auto"/>
                    <w:left w:val="none" w:sz="0" w:space="0" w:color="auto"/>
                    <w:bottom w:val="none" w:sz="0" w:space="0" w:color="auto"/>
                    <w:right w:val="none" w:sz="0" w:space="0" w:color="auto"/>
                  </w:divBdr>
                  <w:divsChild>
                    <w:div w:id="133064839">
                      <w:marLeft w:val="0"/>
                      <w:marRight w:val="0"/>
                      <w:marTop w:val="0"/>
                      <w:marBottom w:val="0"/>
                      <w:divBdr>
                        <w:top w:val="none" w:sz="0" w:space="0" w:color="auto"/>
                        <w:left w:val="none" w:sz="0" w:space="0" w:color="auto"/>
                        <w:bottom w:val="none" w:sz="0" w:space="0" w:color="auto"/>
                        <w:right w:val="none" w:sz="0" w:space="0" w:color="auto"/>
                      </w:divBdr>
                    </w:div>
                  </w:divsChild>
                </w:div>
                <w:div w:id="240260188">
                  <w:marLeft w:val="0"/>
                  <w:marRight w:val="0"/>
                  <w:marTop w:val="0"/>
                  <w:marBottom w:val="0"/>
                  <w:divBdr>
                    <w:top w:val="none" w:sz="0" w:space="0" w:color="auto"/>
                    <w:left w:val="none" w:sz="0" w:space="0" w:color="auto"/>
                    <w:bottom w:val="none" w:sz="0" w:space="0" w:color="auto"/>
                    <w:right w:val="none" w:sz="0" w:space="0" w:color="auto"/>
                  </w:divBdr>
                  <w:divsChild>
                    <w:div w:id="751706538">
                      <w:marLeft w:val="0"/>
                      <w:marRight w:val="0"/>
                      <w:marTop w:val="0"/>
                      <w:marBottom w:val="0"/>
                      <w:divBdr>
                        <w:top w:val="none" w:sz="0" w:space="0" w:color="auto"/>
                        <w:left w:val="none" w:sz="0" w:space="0" w:color="auto"/>
                        <w:bottom w:val="none" w:sz="0" w:space="0" w:color="auto"/>
                        <w:right w:val="none" w:sz="0" w:space="0" w:color="auto"/>
                      </w:divBdr>
                    </w:div>
                  </w:divsChild>
                </w:div>
                <w:div w:id="1705011983">
                  <w:marLeft w:val="0"/>
                  <w:marRight w:val="0"/>
                  <w:marTop w:val="0"/>
                  <w:marBottom w:val="0"/>
                  <w:divBdr>
                    <w:top w:val="none" w:sz="0" w:space="0" w:color="auto"/>
                    <w:left w:val="none" w:sz="0" w:space="0" w:color="auto"/>
                    <w:bottom w:val="none" w:sz="0" w:space="0" w:color="auto"/>
                    <w:right w:val="none" w:sz="0" w:space="0" w:color="auto"/>
                  </w:divBdr>
                  <w:divsChild>
                    <w:div w:id="6973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88833">
          <w:marLeft w:val="0"/>
          <w:marRight w:val="0"/>
          <w:marTop w:val="0"/>
          <w:marBottom w:val="0"/>
          <w:divBdr>
            <w:top w:val="none" w:sz="0" w:space="0" w:color="auto"/>
            <w:left w:val="none" w:sz="0" w:space="0" w:color="auto"/>
            <w:bottom w:val="none" w:sz="0" w:space="0" w:color="auto"/>
            <w:right w:val="none" w:sz="0" w:space="0" w:color="auto"/>
          </w:divBdr>
        </w:div>
        <w:div w:id="1638679841">
          <w:marLeft w:val="0"/>
          <w:marRight w:val="0"/>
          <w:marTop w:val="0"/>
          <w:marBottom w:val="0"/>
          <w:divBdr>
            <w:top w:val="none" w:sz="0" w:space="0" w:color="auto"/>
            <w:left w:val="none" w:sz="0" w:space="0" w:color="auto"/>
            <w:bottom w:val="none" w:sz="0" w:space="0" w:color="auto"/>
            <w:right w:val="none" w:sz="0" w:space="0" w:color="auto"/>
          </w:divBdr>
        </w:div>
        <w:div w:id="609121594">
          <w:marLeft w:val="0"/>
          <w:marRight w:val="0"/>
          <w:marTop w:val="0"/>
          <w:marBottom w:val="0"/>
          <w:divBdr>
            <w:top w:val="none" w:sz="0" w:space="0" w:color="auto"/>
            <w:left w:val="none" w:sz="0" w:space="0" w:color="auto"/>
            <w:bottom w:val="none" w:sz="0" w:space="0" w:color="auto"/>
            <w:right w:val="none" w:sz="0" w:space="0" w:color="auto"/>
          </w:divBdr>
          <w:divsChild>
            <w:div w:id="852495051">
              <w:marLeft w:val="-75"/>
              <w:marRight w:val="0"/>
              <w:marTop w:val="30"/>
              <w:marBottom w:val="30"/>
              <w:divBdr>
                <w:top w:val="none" w:sz="0" w:space="0" w:color="auto"/>
                <w:left w:val="none" w:sz="0" w:space="0" w:color="auto"/>
                <w:bottom w:val="none" w:sz="0" w:space="0" w:color="auto"/>
                <w:right w:val="none" w:sz="0" w:space="0" w:color="auto"/>
              </w:divBdr>
              <w:divsChild>
                <w:div w:id="511652137">
                  <w:marLeft w:val="0"/>
                  <w:marRight w:val="0"/>
                  <w:marTop w:val="0"/>
                  <w:marBottom w:val="0"/>
                  <w:divBdr>
                    <w:top w:val="none" w:sz="0" w:space="0" w:color="auto"/>
                    <w:left w:val="none" w:sz="0" w:space="0" w:color="auto"/>
                    <w:bottom w:val="none" w:sz="0" w:space="0" w:color="auto"/>
                    <w:right w:val="none" w:sz="0" w:space="0" w:color="auto"/>
                  </w:divBdr>
                  <w:divsChild>
                    <w:div w:id="835726373">
                      <w:marLeft w:val="0"/>
                      <w:marRight w:val="0"/>
                      <w:marTop w:val="0"/>
                      <w:marBottom w:val="0"/>
                      <w:divBdr>
                        <w:top w:val="none" w:sz="0" w:space="0" w:color="auto"/>
                        <w:left w:val="none" w:sz="0" w:space="0" w:color="auto"/>
                        <w:bottom w:val="none" w:sz="0" w:space="0" w:color="auto"/>
                        <w:right w:val="none" w:sz="0" w:space="0" w:color="auto"/>
                      </w:divBdr>
                    </w:div>
                  </w:divsChild>
                </w:div>
                <w:div w:id="968514697">
                  <w:marLeft w:val="0"/>
                  <w:marRight w:val="0"/>
                  <w:marTop w:val="0"/>
                  <w:marBottom w:val="0"/>
                  <w:divBdr>
                    <w:top w:val="none" w:sz="0" w:space="0" w:color="auto"/>
                    <w:left w:val="none" w:sz="0" w:space="0" w:color="auto"/>
                    <w:bottom w:val="none" w:sz="0" w:space="0" w:color="auto"/>
                    <w:right w:val="none" w:sz="0" w:space="0" w:color="auto"/>
                  </w:divBdr>
                  <w:divsChild>
                    <w:div w:id="2128232817">
                      <w:marLeft w:val="0"/>
                      <w:marRight w:val="0"/>
                      <w:marTop w:val="0"/>
                      <w:marBottom w:val="0"/>
                      <w:divBdr>
                        <w:top w:val="none" w:sz="0" w:space="0" w:color="auto"/>
                        <w:left w:val="none" w:sz="0" w:space="0" w:color="auto"/>
                        <w:bottom w:val="none" w:sz="0" w:space="0" w:color="auto"/>
                        <w:right w:val="none" w:sz="0" w:space="0" w:color="auto"/>
                      </w:divBdr>
                    </w:div>
                  </w:divsChild>
                </w:div>
                <w:div w:id="373576266">
                  <w:marLeft w:val="0"/>
                  <w:marRight w:val="0"/>
                  <w:marTop w:val="0"/>
                  <w:marBottom w:val="0"/>
                  <w:divBdr>
                    <w:top w:val="none" w:sz="0" w:space="0" w:color="auto"/>
                    <w:left w:val="none" w:sz="0" w:space="0" w:color="auto"/>
                    <w:bottom w:val="none" w:sz="0" w:space="0" w:color="auto"/>
                    <w:right w:val="none" w:sz="0" w:space="0" w:color="auto"/>
                  </w:divBdr>
                  <w:divsChild>
                    <w:div w:id="600331837">
                      <w:marLeft w:val="0"/>
                      <w:marRight w:val="0"/>
                      <w:marTop w:val="0"/>
                      <w:marBottom w:val="0"/>
                      <w:divBdr>
                        <w:top w:val="none" w:sz="0" w:space="0" w:color="auto"/>
                        <w:left w:val="none" w:sz="0" w:space="0" w:color="auto"/>
                        <w:bottom w:val="none" w:sz="0" w:space="0" w:color="auto"/>
                        <w:right w:val="none" w:sz="0" w:space="0" w:color="auto"/>
                      </w:divBdr>
                    </w:div>
                  </w:divsChild>
                </w:div>
                <w:div w:id="1208834001">
                  <w:marLeft w:val="0"/>
                  <w:marRight w:val="0"/>
                  <w:marTop w:val="0"/>
                  <w:marBottom w:val="0"/>
                  <w:divBdr>
                    <w:top w:val="none" w:sz="0" w:space="0" w:color="auto"/>
                    <w:left w:val="none" w:sz="0" w:space="0" w:color="auto"/>
                    <w:bottom w:val="none" w:sz="0" w:space="0" w:color="auto"/>
                    <w:right w:val="none" w:sz="0" w:space="0" w:color="auto"/>
                  </w:divBdr>
                  <w:divsChild>
                    <w:div w:id="1882862671">
                      <w:marLeft w:val="0"/>
                      <w:marRight w:val="0"/>
                      <w:marTop w:val="0"/>
                      <w:marBottom w:val="0"/>
                      <w:divBdr>
                        <w:top w:val="none" w:sz="0" w:space="0" w:color="auto"/>
                        <w:left w:val="none" w:sz="0" w:space="0" w:color="auto"/>
                        <w:bottom w:val="none" w:sz="0" w:space="0" w:color="auto"/>
                        <w:right w:val="none" w:sz="0" w:space="0" w:color="auto"/>
                      </w:divBdr>
                    </w:div>
                  </w:divsChild>
                </w:div>
                <w:div w:id="16278550">
                  <w:marLeft w:val="0"/>
                  <w:marRight w:val="0"/>
                  <w:marTop w:val="0"/>
                  <w:marBottom w:val="0"/>
                  <w:divBdr>
                    <w:top w:val="none" w:sz="0" w:space="0" w:color="auto"/>
                    <w:left w:val="none" w:sz="0" w:space="0" w:color="auto"/>
                    <w:bottom w:val="none" w:sz="0" w:space="0" w:color="auto"/>
                    <w:right w:val="none" w:sz="0" w:space="0" w:color="auto"/>
                  </w:divBdr>
                  <w:divsChild>
                    <w:div w:id="550072328">
                      <w:marLeft w:val="0"/>
                      <w:marRight w:val="0"/>
                      <w:marTop w:val="0"/>
                      <w:marBottom w:val="0"/>
                      <w:divBdr>
                        <w:top w:val="none" w:sz="0" w:space="0" w:color="auto"/>
                        <w:left w:val="none" w:sz="0" w:space="0" w:color="auto"/>
                        <w:bottom w:val="none" w:sz="0" w:space="0" w:color="auto"/>
                        <w:right w:val="none" w:sz="0" w:space="0" w:color="auto"/>
                      </w:divBdr>
                    </w:div>
                  </w:divsChild>
                </w:div>
                <w:div w:id="1454248970">
                  <w:marLeft w:val="0"/>
                  <w:marRight w:val="0"/>
                  <w:marTop w:val="0"/>
                  <w:marBottom w:val="0"/>
                  <w:divBdr>
                    <w:top w:val="none" w:sz="0" w:space="0" w:color="auto"/>
                    <w:left w:val="none" w:sz="0" w:space="0" w:color="auto"/>
                    <w:bottom w:val="none" w:sz="0" w:space="0" w:color="auto"/>
                    <w:right w:val="none" w:sz="0" w:space="0" w:color="auto"/>
                  </w:divBdr>
                  <w:divsChild>
                    <w:div w:id="1298603386">
                      <w:marLeft w:val="0"/>
                      <w:marRight w:val="0"/>
                      <w:marTop w:val="0"/>
                      <w:marBottom w:val="0"/>
                      <w:divBdr>
                        <w:top w:val="none" w:sz="0" w:space="0" w:color="auto"/>
                        <w:left w:val="none" w:sz="0" w:space="0" w:color="auto"/>
                        <w:bottom w:val="none" w:sz="0" w:space="0" w:color="auto"/>
                        <w:right w:val="none" w:sz="0" w:space="0" w:color="auto"/>
                      </w:divBdr>
                    </w:div>
                  </w:divsChild>
                </w:div>
                <w:div w:id="1887063376">
                  <w:marLeft w:val="0"/>
                  <w:marRight w:val="0"/>
                  <w:marTop w:val="0"/>
                  <w:marBottom w:val="0"/>
                  <w:divBdr>
                    <w:top w:val="none" w:sz="0" w:space="0" w:color="auto"/>
                    <w:left w:val="none" w:sz="0" w:space="0" w:color="auto"/>
                    <w:bottom w:val="none" w:sz="0" w:space="0" w:color="auto"/>
                    <w:right w:val="none" w:sz="0" w:space="0" w:color="auto"/>
                  </w:divBdr>
                  <w:divsChild>
                    <w:div w:id="1282960401">
                      <w:marLeft w:val="0"/>
                      <w:marRight w:val="0"/>
                      <w:marTop w:val="0"/>
                      <w:marBottom w:val="0"/>
                      <w:divBdr>
                        <w:top w:val="none" w:sz="0" w:space="0" w:color="auto"/>
                        <w:left w:val="none" w:sz="0" w:space="0" w:color="auto"/>
                        <w:bottom w:val="none" w:sz="0" w:space="0" w:color="auto"/>
                        <w:right w:val="none" w:sz="0" w:space="0" w:color="auto"/>
                      </w:divBdr>
                    </w:div>
                  </w:divsChild>
                </w:div>
                <w:div w:id="754517645">
                  <w:marLeft w:val="0"/>
                  <w:marRight w:val="0"/>
                  <w:marTop w:val="0"/>
                  <w:marBottom w:val="0"/>
                  <w:divBdr>
                    <w:top w:val="none" w:sz="0" w:space="0" w:color="auto"/>
                    <w:left w:val="none" w:sz="0" w:space="0" w:color="auto"/>
                    <w:bottom w:val="none" w:sz="0" w:space="0" w:color="auto"/>
                    <w:right w:val="none" w:sz="0" w:space="0" w:color="auto"/>
                  </w:divBdr>
                  <w:divsChild>
                    <w:div w:id="403069532">
                      <w:marLeft w:val="0"/>
                      <w:marRight w:val="0"/>
                      <w:marTop w:val="0"/>
                      <w:marBottom w:val="0"/>
                      <w:divBdr>
                        <w:top w:val="none" w:sz="0" w:space="0" w:color="auto"/>
                        <w:left w:val="none" w:sz="0" w:space="0" w:color="auto"/>
                        <w:bottom w:val="none" w:sz="0" w:space="0" w:color="auto"/>
                        <w:right w:val="none" w:sz="0" w:space="0" w:color="auto"/>
                      </w:divBdr>
                    </w:div>
                  </w:divsChild>
                </w:div>
                <w:div w:id="1238323998">
                  <w:marLeft w:val="0"/>
                  <w:marRight w:val="0"/>
                  <w:marTop w:val="0"/>
                  <w:marBottom w:val="0"/>
                  <w:divBdr>
                    <w:top w:val="none" w:sz="0" w:space="0" w:color="auto"/>
                    <w:left w:val="none" w:sz="0" w:space="0" w:color="auto"/>
                    <w:bottom w:val="none" w:sz="0" w:space="0" w:color="auto"/>
                    <w:right w:val="none" w:sz="0" w:space="0" w:color="auto"/>
                  </w:divBdr>
                  <w:divsChild>
                    <w:div w:id="1772120924">
                      <w:marLeft w:val="0"/>
                      <w:marRight w:val="0"/>
                      <w:marTop w:val="0"/>
                      <w:marBottom w:val="0"/>
                      <w:divBdr>
                        <w:top w:val="none" w:sz="0" w:space="0" w:color="auto"/>
                        <w:left w:val="none" w:sz="0" w:space="0" w:color="auto"/>
                        <w:bottom w:val="none" w:sz="0" w:space="0" w:color="auto"/>
                        <w:right w:val="none" w:sz="0" w:space="0" w:color="auto"/>
                      </w:divBdr>
                    </w:div>
                  </w:divsChild>
                </w:div>
                <w:div w:id="201598504">
                  <w:marLeft w:val="0"/>
                  <w:marRight w:val="0"/>
                  <w:marTop w:val="0"/>
                  <w:marBottom w:val="0"/>
                  <w:divBdr>
                    <w:top w:val="none" w:sz="0" w:space="0" w:color="auto"/>
                    <w:left w:val="none" w:sz="0" w:space="0" w:color="auto"/>
                    <w:bottom w:val="none" w:sz="0" w:space="0" w:color="auto"/>
                    <w:right w:val="none" w:sz="0" w:space="0" w:color="auto"/>
                  </w:divBdr>
                  <w:divsChild>
                    <w:div w:id="1080063878">
                      <w:marLeft w:val="0"/>
                      <w:marRight w:val="0"/>
                      <w:marTop w:val="0"/>
                      <w:marBottom w:val="0"/>
                      <w:divBdr>
                        <w:top w:val="none" w:sz="0" w:space="0" w:color="auto"/>
                        <w:left w:val="none" w:sz="0" w:space="0" w:color="auto"/>
                        <w:bottom w:val="none" w:sz="0" w:space="0" w:color="auto"/>
                        <w:right w:val="none" w:sz="0" w:space="0" w:color="auto"/>
                      </w:divBdr>
                    </w:div>
                  </w:divsChild>
                </w:div>
                <w:div w:id="1429741194">
                  <w:marLeft w:val="0"/>
                  <w:marRight w:val="0"/>
                  <w:marTop w:val="0"/>
                  <w:marBottom w:val="0"/>
                  <w:divBdr>
                    <w:top w:val="none" w:sz="0" w:space="0" w:color="auto"/>
                    <w:left w:val="none" w:sz="0" w:space="0" w:color="auto"/>
                    <w:bottom w:val="none" w:sz="0" w:space="0" w:color="auto"/>
                    <w:right w:val="none" w:sz="0" w:space="0" w:color="auto"/>
                  </w:divBdr>
                  <w:divsChild>
                    <w:div w:id="1292243418">
                      <w:marLeft w:val="0"/>
                      <w:marRight w:val="0"/>
                      <w:marTop w:val="0"/>
                      <w:marBottom w:val="0"/>
                      <w:divBdr>
                        <w:top w:val="none" w:sz="0" w:space="0" w:color="auto"/>
                        <w:left w:val="none" w:sz="0" w:space="0" w:color="auto"/>
                        <w:bottom w:val="none" w:sz="0" w:space="0" w:color="auto"/>
                        <w:right w:val="none" w:sz="0" w:space="0" w:color="auto"/>
                      </w:divBdr>
                    </w:div>
                  </w:divsChild>
                </w:div>
                <w:div w:id="1744793893">
                  <w:marLeft w:val="0"/>
                  <w:marRight w:val="0"/>
                  <w:marTop w:val="0"/>
                  <w:marBottom w:val="0"/>
                  <w:divBdr>
                    <w:top w:val="none" w:sz="0" w:space="0" w:color="auto"/>
                    <w:left w:val="none" w:sz="0" w:space="0" w:color="auto"/>
                    <w:bottom w:val="none" w:sz="0" w:space="0" w:color="auto"/>
                    <w:right w:val="none" w:sz="0" w:space="0" w:color="auto"/>
                  </w:divBdr>
                  <w:divsChild>
                    <w:div w:id="738819961">
                      <w:marLeft w:val="0"/>
                      <w:marRight w:val="0"/>
                      <w:marTop w:val="0"/>
                      <w:marBottom w:val="0"/>
                      <w:divBdr>
                        <w:top w:val="none" w:sz="0" w:space="0" w:color="auto"/>
                        <w:left w:val="none" w:sz="0" w:space="0" w:color="auto"/>
                        <w:bottom w:val="none" w:sz="0" w:space="0" w:color="auto"/>
                        <w:right w:val="none" w:sz="0" w:space="0" w:color="auto"/>
                      </w:divBdr>
                    </w:div>
                  </w:divsChild>
                </w:div>
                <w:div w:id="480511217">
                  <w:marLeft w:val="0"/>
                  <w:marRight w:val="0"/>
                  <w:marTop w:val="0"/>
                  <w:marBottom w:val="0"/>
                  <w:divBdr>
                    <w:top w:val="none" w:sz="0" w:space="0" w:color="auto"/>
                    <w:left w:val="none" w:sz="0" w:space="0" w:color="auto"/>
                    <w:bottom w:val="none" w:sz="0" w:space="0" w:color="auto"/>
                    <w:right w:val="none" w:sz="0" w:space="0" w:color="auto"/>
                  </w:divBdr>
                  <w:divsChild>
                    <w:div w:id="2023387021">
                      <w:marLeft w:val="0"/>
                      <w:marRight w:val="0"/>
                      <w:marTop w:val="0"/>
                      <w:marBottom w:val="0"/>
                      <w:divBdr>
                        <w:top w:val="none" w:sz="0" w:space="0" w:color="auto"/>
                        <w:left w:val="none" w:sz="0" w:space="0" w:color="auto"/>
                        <w:bottom w:val="none" w:sz="0" w:space="0" w:color="auto"/>
                        <w:right w:val="none" w:sz="0" w:space="0" w:color="auto"/>
                      </w:divBdr>
                    </w:div>
                  </w:divsChild>
                </w:div>
                <w:div w:id="1476488705">
                  <w:marLeft w:val="0"/>
                  <w:marRight w:val="0"/>
                  <w:marTop w:val="0"/>
                  <w:marBottom w:val="0"/>
                  <w:divBdr>
                    <w:top w:val="none" w:sz="0" w:space="0" w:color="auto"/>
                    <w:left w:val="none" w:sz="0" w:space="0" w:color="auto"/>
                    <w:bottom w:val="none" w:sz="0" w:space="0" w:color="auto"/>
                    <w:right w:val="none" w:sz="0" w:space="0" w:color="auto"/>
                  </w:divBdr>
                  <w:divsChild>
                    <w:div w:id="653994026">
                      <w:marLeft w:val="0"/>
                      <w:marRight w:val="0"/>
                      <w:marTop w:val="0"/>
                      <w:marBottom w:val="0"/>
                      <w:divBdr>
                        <w:top w:val="none" w:sz="0" w:space="0" w:color="auto"/>
                        <w:left w:val="none" w:sz="0" w:space="0" w:color="auto"/>
                        <w:bottom w:val="none" w:sz="0" w:space="0" w:color="auto"/>
                        <w:right w:val="none" w:sz="0" w:space="0" w:color="auto"/>
                      </w:divBdr>
                    </w:div>
                  </w:divsChild>
                </w:div>
                <w:div w:id="778530161">
                  <w:marLeft w:val="0"/>
                  <w:marRight w:val="0"/>
                  <w:marTop w:val="0"/>
                  <w:marBottom w:val="0"/>
                  <w:divBdr>
                    <w:top w:val="none" w:sz="0" w:space="0" w:color="auto"/>
                    <w:left w:val="none" w:sz="0" w:space="0" w:color="auto"/>
                    <w:bottom w:val="none" w:sz="0" w:space="0" w:color="auto"/>
                    <w:right w:val="none" w:sz="0" w:space="0" w:color="auto"/>
                  </w:divBdr>
                  <w:divsChild>
                    <w:div w:id="957103997">
                      <w:marLeft w:val="0"/>
                      <w:marRight w:val="0"/>
                      <w:marTop w:val="0"/>
                      <w:marBottom w:val="0"/>
                      <w:divBdr>
                        <w:top w:val="none" w:sz="0" w:space="0" w:color="auto"/>
                        <w:left w:val="none" w:sz="0" w:space="0" w:color="auto"/>
                        <w:bottom w:val="none" w:sz="0" w:space="0" w:color="auto"/>
                        <w:right w:val="none" w:sz="0" w:space="0" w:color="auto"/>
                      </w:divBdr>
                    </w:div>
                  </w:divsChild>
                </w:div>
                <w:div w:id="2007703088">
                  <w:marLeft w:val="0"/>
                  <w:marRight w:val="0"/>
                  <w:marTop w:val="0"/>
                  <w:marBottom w:val="0"/>
                  <w:divBdr>
                    <w:top w:val="none" w:sz="0" w:space="0" w:color="auto"/>
                    <w:left w:val="none" w:sz="0" w:space="0" w:color="auto"/>
                    <w:bottom w:val="none" w:sz="0" w:space="0" w:color="auto"/>
                    <w:right w:val="none" w:sz="0" w:space="0" w:color="auto"/>
                  </w:divBdr>
                  <w:divsChild>
                    <w:div w:id="593587501">
                      <w:marLeft w:val="0"/>
                      <w:marRight w:val="0"/>
                      <w:marTop w:val="0"/>
                      <w:marBottom w:val="0"/>
                      <w:divBdr>
                        <w:top w:val="none" w:sz="0" w:space="0" w:color="auto"/>
                        <w:left w:val="none" w:sz="0" w:space="0" w:color="auto"/>
                        <w:bottom w:val="none" w:sz="0" w:space="0" w:color="auto"/>
                        <w:right w:val="none" w:sz="0" w:space="0" w:color="auto"/>
                      </w:divBdr>
                    </w:div>
                  </w:divsChild>
                </w:div>
                <w:div w:id="470288827">
                  <w:marLeft w:val="0"/>
                  <w:marRight w:val="0"/>
                  <w:marTop w:val="0"/>
                  <w:marBottom w:val="0"/>
                  <w:divBdr>
                    <w:top w:val="none" w:sz="0" w:space="0" w:color="auto"/>
                    <w:left w:val="none" w:sz="0" w:space="0" w:color="auto"/>
                    <w:bottom w:val="none" w:sz="0" w:space="0" w:color="auto"/>
                    <w:right w:val="none" w:sz="0" w:space="0" w:color="auto"/>
                  </w:divBdr>
                  <w:divsChild>
                    <w:div w:id="892350425">
                      <w:marLeft w:val="0"/>
                      <w:marRight w:val="0"/>
                      <w:marTop w:val="0"/>
                      <w:marBottom w:val="0"/>
                      <w:divBdr>
                        <w:top w:val="none" w:sz="0" w:space="0" w:color="auto"/>
                        <w:left w:val="none" w:sz="0" w:space="0" w:color="auto"/>
                        <w:bottom w:val="none" w:sz="0" w:space="0" w:color="auto"/>
                        <w:right w:val="none" w:sz="0" w:space="0" w:color="auto"/>
                      </w:divBdr>
                    </w:div>
                  </w:divsChild>
                </w:div>
                <w:div w:id="976909341">
                  <w:marLeft w:val="0"/>
                  <w:marRight w:val="0"/>
                  <w:marTop w:val="0"/>
                  <w:marBottom w:val="0"/>
                  <w:divBdr>
                    <w:top w:val="none" w:sz="0" w:space="0" w:color="auto"/>
                    <w:left w:val="none" w:sz="0" w:space="0" w:color="auto"/>
                    <w:bottom w:val="none" w:sz="0" w:space="0" w:color="auto"/>
                    <w:right w:val="none" w:sz="0" w:space="0" w:color="auto"/>
                  </w:divBdr>
                  <w:divsChild>
                    <w:div w:id="1534534016">
                      <w:marLeft w:val="0"/>
                      <w:marRight w:val="0"/>
                      <w:marTop w:val="0"/>
                      <w:marBottom w:val="0"/>
                      <w:divBdr>
                        <w:top w:val="none" w:sz="0" w:space="0" w:color="auto"/>
                        <w:left w:val="none" w:sz="0" w:space="0" w:color="auto"/>
                        <w:bottom w:val="none" w:sz="0" w:space="0" w:color="auto"/>
                        <w:right w:val="none" w:sz="0" w:space="0" w:color="auto"/>
                      </w:divBdr>
                    </w:div>
                  </w:divsChild>
                </w:div>
                <w:div w:id="1363625316">
                  <w:marLeft w:val="0"/>
                  <w:marRight w:val="0"/>
                  <w:marTop w:val="0"/>
                  <w:marBottom w:val="0"/>
                  <w:divBdr>
                    <w:top w:val="none" w:sz="0" w:space="0" w:color="auto"/>
                    <w:left w:val="none" w:sz="0" w:space="0" w:color="auto"/>
                    <w:bottom w:val="none" w:sz="0" w:space="0" w:color="auto"/>
                    <w:right w:val="none" w:sz="0" w:space="0" w:color="auto"/>
                  </w:divBdr>
                  <w:divsChild>
                    <w:div w:id="645815451">
                      <w:marLeft w:val="0"/>
                      <w:marRight w:val="0"/>
                      <w:marTop w:val="0"/>
                      <w:marBottom w:val="0"/>
                      <w:divBdr>
                        <w:top w:val="none" w:sz="0" w:space="0" w:color="auto"/>
                        <w:left w:val="none" w:sz="0" w:space="0" w:color="auto"/>
                        <w:bottom w:val="none" w:sz="0" w:space="0" w:color="auto"/>
                        <w:right w:val="none" w:sz="0" w:space="0" w:color="auto"/>
                      </w:divBdr>
                    </w:div>
                  </w:divsChild>
                </w:div>
                <w:div w:id="1852799243">
                  <w:marLeft w:val="0"/>
                  <w:marRight w:val="0"/>
                  <w:marTop w:val="0"/>
                  <w:marBottom w:val="0"/>
                  <w:divBdr>
                    <w:top w:val="none" w:sz="0" w:space="0" w:color="auto"/>
                    <w:left w:val="none" w:sz="0" w:space="0" w:color="auto"/>
                    <w:bottom w:val="none" w:sz="0" w:space="0" w:color="auto"/>
                    <w:right w:val="none" w:sz="0" w:space="0" w:color="auto"/>
                  </w:divBdr>
                  <w:divsChild>
                    <w:div w:id="778835609">
                      <w:marLeft w:val="0"/>
                      <w:marRight w:val="0"/>
                      <w:marTop w:val="0"/>
                      <w:marBottom w:val="0"/>
                      <w:divBdr>
                        <w:top w:val="none" w:sz="0" w:space="0" w:color="auto"/>
                        <w:left w:val="none" w:sz="0" w:space="0" w:color="auto"/>
                        <w:bottom w:val="none" w:sz="0" w:space="0" w:color="auto"/>
                        <w:right w:val="none" w:sz="0" w:space="0" w:color="auto"/>
                      </w:divBdr>
                    </w:div>
                  </w:divsChild>
                </w:div>
                <w:div w:id="1141583725">
                  <w:marLeft w:val="0"/>
                  <w:marRight w:val="0"/>
                  <w:marTop w:val="0"/>
                  <w:marBottom w:val="0"/>
                  <w:divBdr>
                    <w:top w:val="none" w:sz="0" w:space="0" w:color="auto"/>
                    <w:left w:val="none" w:sz="0" w:space="0" w:color="auto"/>
                    <w:bottom w:val="none" w:sz="0" w:space="0" w:color="auto"/>
                    <w:right w:val="none" w:sz="0" w:space="0" w:color="auto"/>
                  </w:divBdr>
                  <w:divsChild>
                    <w:div w:id="1321424136">
                      <w:marLeft w:val="0"/>
                      <w:marRight w:val="0"/>
                      <w:marTop w:val="0"/>
                      <w:marBottom w:val="0"/>
                      <w:divBdr>
                        <w:top w:val="none" w:sz="0" w:space="0" w:color="auto"/>
                        <w:left w:val="none" w:sz="0" w:space="0" w:color="auto"/>
                        <w:bottom w:val="none" w:sz="0" w:space="0" w:color="auto"/>
                        <w:right w:val="none" w:sz="0" w:space="0" w:color="auto"/>
                      </w:divBdr>
                    </w:div>
                  </w:divsChild>
                </w:div>
                <w:div w:id="204373106">
                  <w:marLeft w:val="0"/>
                  <w:marRight w:val="0"/>
                  <w:marTop w:val="0"/>
                  <w:marBottom w:val="0"/>
                  <w:divBdr>
                    <w:top w:val="none" w:sz="0" w:space="0" w:color="auto"/>
                    <w:left w:val="none" w:sz="0" w:space="0" w:color="auto"/>
                    <w:bottom w:val="none" w:sz="0" w:space="0" w:color="auto"/>
                    <w:right w:val="none" w:sz="0" w:space="0" w:color="auto"/>
                  </w:divBdr>
                  <w:divsChild>
                    <w:div w:id="1847399189">
                      <w:marLeft w:val="0"/>
                      <w:marRight w:val="0"/>
                      <w:marTop w:val="0"/>
                      <w:marBottom w:val="0"/>
                      <w:divBdr>
                        <w:top w:val="none" w:sz="0" w:space="0" w:color="auto"/>
                        <w:left w:val="none" w:sz="0" w:space="0" w:color="auto"/>
                        <w:bottom w:val="none" w:sz="0" w:space="0" w:color="auto"/>
                        <w:right w:val="none" w:sz="0" w:space="0" w:color="auto"/>
                      </w:divBdr>
                    </w:div>
                  </w:divsChild>
                </w:div>
                <w:div w:id="831605043">
                  <w:marLeft w:val="0"/>
                  <w:marRight w:val="0"/>
                  <w:marTop w:val="0"/>
                  <w:marBottom w:val="0"/>
                  <w:divBdr>
                    <w:top w:val="none" w:sz="0" w:space="0" w:color="auto"/>
                    <w:left w:val="none" w:sz="0" w:space="0" w:color="auto"/>
                    <w:bottom w:val="none" w:sz="0" w:space="0" w:color="auto"/>
                    <w:right w:val="none" w:sz="0" w:space="0" w:color="auto"/>
                  </w:divBdr>
                  <w:divsChild>
                    <w:div w:id="159319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3397">
          <w:marLeft w:val="0"/>
          <w:marRight w:val="0"/>
          <w:marTop w:val="0"/>
          <w:marBottom w:val="0"/>
          <w:divBdr>
            <w:top w:val="none" w:sz="0" w:space="0" w:color="auto"/>
            <w:left w:val="none" w:sz="0" w:space="0" w:color="auto"/>
            <w:bottom w:val="none" w:sz="0" w:space="0" w:color="auto"/>
            <w:right w:val="none" w:sz="0" w:space="0" w:color="auto"/>
          </w:divBdr>
        </w:div>
        <w:div w:id="1313635247">
          <w:marLeft w:val="0"/>
          <w:marRight w:val="0"/>
          <w:marTop w:val="0"/>
          <w:marBottom w:val="0"/>
          <w:divBdr>
            <w:top w:val="none" w:sz="0" w:space="0" w:color="auto"/>
            <w:left w:val="none" w:sz="0" w:space="0" w:color="auto"/>
            <w:bottom w:val="none" w:sz="0" w:space="0" w:color="auto"/>
            <w:right w:val="none" w:sz="0" w:space="0" w:color="auto"/>
          </w:divBdr>
        </w:div>
        <w:div w:id="523641568">
          <w:marLeft w:val="0"/>
          <w:marRight w:val="0"/>
          <w:marTop w:val="0"/>
          <w:marBottom w:val="0"/>
          <w:divBdr>
            <w:top w:val="none" w:sz="0" w:space="0" w:color="auto"/>
            <w:left w:val="none" w:sz="0" w:space="0" w:color="auto"/>
            <w:bottom w:val="none" w:sz="0" w:space="0" w:color="auto"/>
            <w:right w:val="none" w:sz="0" w:space="0" w:color="auto"/>
          </w:divBdr>
        </w:div>
      </w:divsChild>
    </w:div>
    <w:div w:id="2101829573">
      <w:bodyDiv w:val="1"/>
      <w:marLeft w:val="0"/>
      <w:marRight w:val="0"/>
      <w:marTop w:val="0"/>
      <w:marBottom w:val="0"/>
      <w:divBdr>
        <w:top w:val="none" w:sz="0" w:space="0" w:color="auto"/>
        <w:left w:val="none" w:sz="0" w:space="0" w:color="auto"/>
        <w:bottom w:val="none" w:sz="0" w:space="0" w:color="auto"/>
        <w:right w:val="none" w:sz="0" w:space="0" w:color="auto"/>
      </w:divBdr>
    </w:div>
    <w:div w:id="213864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hyperlink" Target="http://www.plynovadoprava.cz" TargetMode="External"/><Relationship Id="rId84" Type="http://schemas.openxmlformats.org/officeDocument/2006/relationships/header" Target="header4.xml"/><Relationship Id="rId16" Type="http://schemas.openxmlformats.org/officeDocument/2006/relationships/endnotes" Target="endnotes.xml"/><Relationship Id="rId11" Type="http://schemas.openxmlformats.org/officeDocument/2006/relationships/numbering" Target="numbering.xml"/><Relationship Id="rId32" Type="http://schemas.openxmlformats.org/officeDocument/2006/relationships/image" Target="media/image16.emf"/><Relationship Id="rId37" Type="http://schemas.openxmlformats.org/officeDocument/2006/relationships/hyperlink" Target="http://www.cistadoprava.cz" TargetMode="External"/><Relationship Id="rId53" Type="http://schemas.openxmlformats.org/officeDocument/2006/relationships/image" Target="media/image30.png"/><Relationship Id="rId58" Type="http://schemas.openxmlformats.org/officeDocument/2006/relationships/header" Target="header3.xml"/><Relationship Id="rId74" Type="http://schemas.openxmlformats.org/officeDocument/2006/relationships/image" Target="media/image43.emf"/><Relationship Id="rId79" Type="http://schemas.openxmlformats.org/officeDocument/2006/relationships/chart" Target="charts/chart1.xml"/><Relationship Id="rId5" Type="http://schemas.openxmlformats.org/officeDocument/2006/relationships/customXml" Target="../customXml/item5.xml"/><Relationship Id="rId19" Type="http://schemas.openxmlformats.org/officeDocument/2006/relationships/footer" Target="footer1.xml"/><Relationship Id="rId14" Type="http://schemas.openxmlformats.org/officeDocument/2006/relationships/webSettings" Target="webSettings.xml"/><Relationship Id="rId22" Type="http://schemas.openxmlformats.org/officeDocument/2006/relationships/image" Target="media/image5.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http://www.cistadoprava.czC" TargetMode="Externa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header" Target="header2.xml"/><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image" Target="media/image46.emf"/><Relationship Id="rId8" Type="http://schemas.openxmlformats.org/officeDocument/2006/relationships/customXml" Target="../customXml/item8.xml"/><Relationship Id="rId51" Type="http://schemas.openxmlformats.org/officeDocument/2006/relationships/image" Target="media/image28.png"/><Relationship Id="rId72" Type="http://schemas.openxmlformats.org/officeDocument/2006/relationships/image" Target="media/image41.png"/><Relationship Id="rId80" Type="http://schemas.openxmlformats.org/officeDocument/2006/relationships/image" Target="media/image48.emf"/><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image" Target="media/image2.jpeg"/><Relationship Id="rId25" Type="http://schemas.openxmlformats.org/officeDocument/2006/relationships/image" Target="media/image9.emf"/><Relationship Id="rId33" Type="http://schemas.openxmlformats.org/officeDocument/2006/relationships/hyperlink" Target="http://www.cistadoprava.cz" TargetMode="External"/><Relationship Id="rId38" Type="http://schemas.openxmlformats.org/officeDocument/2006/relationships/image" Target="media/image19.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8.png"/><Relationship Id="rId20" Type="http://schemas.openxmlformats.org/officeDocument/2006/relationships/footer" Target="footer2.xml"/><Relationship Id="rId41" Type="http://schemas.openxmlformats.org/officeDocument/2006/relationships/hyperlink" Target="https://www.cistadoprava.cz/registrace-vsech-cistych-vozidel-v-cr-dle-nap-cm/" TargetMode="External"/><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hyperlink" Target="https://www.plynovamobilita.cz/" TargetMode="External"/><Relationship Id="rId75" Type="http://schemas.openxmlformats.org/officeDocument/2006/relationships/image" Target="media/image44.emf"/><Relationship Id="rId83" Type="http://schemas.openxmlformats.org/officeDocument/2006/relationships/image" Target="media/image50.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footer" Target="footer3.xml"/><Relationship Id="rId10" Type="http://schemas.openxmlformats.org/officeDocument/2006/relationships/customXml" Target="../customXml/item10.xml"/><Relationship Id="rId31" Type="http://schemas.openxmlformats.org/officeDocument/2006/relationships/image" Target="media/image15.emf"/><Relationship Id="rId44" Type="http://schemas.microsoft.com/office/2007/relationships/hdphoto" Target="media/hdphoto1.wdp"/><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www.cistadoprava.cz/mapy/ev/" TargetMode="External"/><Relationship Id="rId73" Type="http://schemas.openxmlformats.org/officeDocument/2006/relationships/image" Target="media/image42.emf"/><Relationship Id="rId78" Type="http://schemas.openxmlformats.org/officeDocument/2006/relationships/image" Target="media/image47.png"/><Relationship Id="rId81" Type="http://schemas.openxmlformats.org/officeDocument/2006/relationships/chart" Target="charts/chart2.xml"/><Relationship Id="rId86"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header" Target="header1.xml"/><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27.png"/><Relationship Id="rId55" Type="http://schemas.openxmlformats.org/officeDocument/2006/relationships/hyperlink" Target="http://www.cistadoprava.cz" TargetMode="External"/><Relationship Id="rId76" Type="http://schemas.openxmlformats.org/officeDocument/2006/relationships/image" Target="media/image45.emf"/><Relationship Id="rId7" Type="http://schemas.openxmlformats.org/officeDocument/2006/relationships/customXml" Target="../customXml/item7.xml"/><Relationship Id="rId71"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hyperlink" Target="http://www.cistadoprava,cz" TargetMode="External"/><Relationship Id="rId45" Type="http://schemas.openxmlformats.org/officeDocument/2006/relationships/hyperlink" Target="https://www.cistadoprava.cz/registrace-novych-osobnich-vozidel-v-eu/" TargetMode="External"/><Relationship Id="rId66" Type="http://schemas.openxmlformats.org/officeDocument/2006/relationships/hyperlink" Target="https://www.cistadoprava.cz/mapy/ev/" TargetMode="External"/><Relationship Id="rId87"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49.emf"/></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CS/TXT/PDF/?uri=CELEX:32009R0443&amp;from=EN" TargetMode="External"/><Relationship Id="rId2" Type="http://schemas.openxmlformats.org/officeDocument/2006/relationships/hyperlink" Target="https://eur-lex.europa.eu/legal-content/CS/TXT/HTML/?uri=CELEX:52023DC0156&amp;from=EN" TargetMode="External"/><Relationship Id="rId1" Type="http://schemas.openxmlformats.org/officeDocument/2006/relationships/hyperlink" Target="https://eur-lex.europa.eu/legal-content/EN/TXT/PDF/?uri=CELEX:52023PC0160&amp;from=EN" TargetMode="External"/><Relationship Id="rId5" Type="http://schemas.openxmlformats.org/officeDocument/2006/relationships/hyperlink" Target="https://eur-lex.europa.eu/legal-content/EN/TXT/?uri=CELEX%3A52022PC0586" TargetMode="External"/><Relationship Id="rId4" Type="http://schemas.openxmlformats.org/officeDocument/2006/relationships/hyperlink" Target="https://eur-lex.europa.eu/legal-content/CS/ALL/?uri=CELEX:32011R051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indracek\Documents\data%20Office%20Projects\ALPG%20-%20autoplyn%20-%20NAPC&#780;M\texty%20LPG,%20efuels,%20ammonia\grafy%20vypocty_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indracek\Documents\data%20Office%20Projects\ALPG%20-%20autoplyn%20-%20NAPC&#780;M\texty%20LPG,%20efuels,%20ammonia\graf%20spotreba%20LPG%20a%20emise%202020%20-%20203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Podíl vozidel a čerpacích stanic na klasická paliva a LPG</a:t>
            </a:r>
            <a:endParaRPr lang="cs-CZ"/>
          </a:p>
        </c:rich>
      </c:tx>
      <c:layout>
        <c:manualLayout>
          <c:xMode val="edge"/>
          <c:yMode val="edge"/>
          <c:x val="0.10336018236025883"/>
          <c:y val="5.2840158520475564E-2"/>
        </c:manualLayout>
      </c:layout>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List1!$B$37</c:f>
              <c:strCache>
                <c:ptCount val="1"/>
                <c:pt idx="0">
                  <c:v>konvenční paliva</c:v>
                </c:pt>
              </c:strCache>
            </c:strRef>
          </c:tx>
          <c:spPr>
            <a:solidFill>
              <a:schemeClr val="bg2">
                <a:lumMod val="10000"/>
              </a:schemeClr>
            </a:solidFill>
            <a:ln>
              <a:noFill/>
            </a:ln>
            <a:effectLst/>
          </c:spPr>
          <c:invertIfNegative val="0"/>
          <c:cat>
            <c:strRef>
              <c:f>List1!$A$38:$A$39</c:f>
              <c:strCache>
                <c:ptCount val="2"/>
                <c:pt idx="0">
                  <c:v>poměr počtu vozů</c:v>
                </c:pt>
                <c:pt idx="1">
                  <c:v>poměr v síti ČS</c:v>
                </c:pt>
              </c:strCache>
            </c:strRef>
          </c:cat>
          <c:val>
            <c:numRef>
              <c:f>List1!$B$38:$B$39</c:f>
              <c:numCache>
                <c:formatCode>General</c:formatCode>
                <c:ptCount val="2"/>
                <c:pt idx="0">
                  <c:v>5500000</c:v>
                </c:pt>
                <c:pt idx="1">
                  <c:v>2800</c:v>
                </c:pt>
              </c:numCache>
            </c:numRef>
          </c:val>
          <c:extLst>
            <c:ext xmlns:c16="http://schemas.microsoft.com/office/drawing/2014/chart" uri="{C3380CC4-5D6E-409C-BE32-E72D297353CC}">
              <c16:uniqueId val="{00000000-EF36-4EE9-8C3B-9695E3A29122}"/>
            </c:ext>
          </c:extLst>
        </c:ser>
        <c:ser>
          <c:idx val="1"/>
          <c:order val="1"/>
          <c:tx>
            <c:strRef>
              <c:f>List1!$C$37</c:f>
              <c:strCache>
                <c:ptCount val="1"/>
                <c:pt idx="0">
                  <c:v>LPG</c:v>
                </c:pt>
              </c:strCache>
            </c:strRef>
          </c:tx>
          <c:spPr>
            <a:solidFill>
              <a:srgbClr val="FFC000"/>
            </a:solidFill>
            <a:ln>
              <a:noFill/>
            </a:ln>
            <a:effectLst/>
          </c:spPr>
          <c:invertIfNegative val="0"/>
          <c:cat>
            <c:strRef>
              <c:f>List1!$A$38:$A$39</c:f>
              <c:strCache>
                <c:ptCount val="2"/>
                <c:pt idx="0">
                  <c:v>poměr počtu vozů</c:v>
                </c:pt>
                <c:pt idx="1">
                  <c:v>poměr v síti ČS</c:v>
                </c:pt>
              </c:strCache>
            </c:strRef>
          </c:cat>
          <c:val>
            <c:numRef>
              <c:f>List1!$C$38:$C$39</c:f>
              <c:numCache>
                <c:formatCode>General</c:formatCode>
                <c:ptCount val="2"/>
                <c:pt idx="0">
                  <c:v>170000</c:v>
                </c:pt>
                <c:pt idx="1">
                  <c:v>900</c:v>
                </c:pt>
              </c:numCache>
            </c:numRef>
          </c:val>
          <c:extLst>
            <c:ext xmlns:c16="http://schemas.microsoft.com/office/drawing/2014/chart" uri="{C3380CC4-5D6E-409C-BE32-E72D297353CC}">
              <c16:uniqueId val="{00000001-EF36-4EE9-8C3B-9695E3A29122}"/>
            </c:ext>
          </c:extLst>
        </c:ser>
        <c:dLbls>
          <c:showLegendKey val="0"/>
          <c:showVal val="0"/>
          <c:showCatName val="0"/>
          <c:showSerName val="0"/>
          <c:showPercent val="0"/>
          <c:showBubbleSize val="0"/>
        </c:dLbls>
        <c:gapWidth val="150"/>
        <c:overlap val="100"/>
        <c:axId val="517326560"/>
        <c:axId val="517326888"/>
      </c:barChart>
      <c:catAx>
        <c:axId val="51732656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7326888"/>
        <c:crosses val="autoZero"/>
        <c:auto val="1"/>
        <c:lblAlgn val="ctr"/>
        <c:lblOffset val="100"/>
        <c:noMultiLvlLbl val="0"/>
      </c:catAx>
      <c:valAx>
        <c:axId val="51732688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732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Úspory emisí CO</a:t>
            </a:r>
            <a:r>
              <a:rPr lang="cs-CZ" baseline="-25000"/>
              <a:t>2</a:t>
            </a:r>
            <a:r>
              <a:rPr lang="cs-CZ"/>
              <a:t> v jednotlivých scénářích </a:t>
            </a:r>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 (2)'!$J$104</c:f>
              <c:strCache>
                <c:ptCount val="1"/>
                <c:pt idx="0">
                  <c:v>FS</c:v>
                </c:pt>
              </c:strCache>
            </c:strRef>
          </c:tx>
          <c:spPr>
            <a:ln w="28575" cap="rnd">
              <a:solidFill>
                <a:schemeClr val="accent1"/>
              </a:solidFill>
              <a:round/>
            </a:ln>
            <a:effectLst/>
          </c:spPr>
          <c:marker>
            <c:symbol val="none"/>
          </c:marker>
          <c:cat>
            <c:numRef>
              <c:f>'List1 (2)'!$I$105:$I$120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'List1 (2)'!$J$105:$J$120</c:f>
              <c:numCache>
                <c:formatCode>_-* #,##0\ _K_č_-;\-* #,##0\ _K_č_-;_-* "-"??\ _K_č_-;_-@_-</c:formatCode>
                <c:ptCount val="16"/>
                <c:pt idx="0">
                  <c:v>71728.523999999918</c:v>
                </c:pt>
                <c:pt idx="1">
                  <c:v>71728.523999999918</c:v>
                </c:pt>
                <c:pt idx="2">
                  <c:v>69554.932363636253</c:v>
                </c:pt>
                <c:pt idx="3">
                  <c:v>67381.340727272691</c:v>
                </c:pt>
                <c:pt idx="4">
                  <c:v>66656.810181818117</c:v>
                </c:pt>
                <c:pt idx="5">
                  <c:v>66656.810181818117</c:v>
                </c:pt>
                <c:pt idx="6">
                  <c:v>67381.340727272691</c:v>
                </c:pt>
                <c:pt idx="7">
                  <c:v>68830.401818181781</c:v>
                </c:pt>
                <c:pt idx="8">
                  <c:v>70689.267709090884</c:v>
                </c:pt>
                <c:pt idx="9">
                  <c:v>70374.541963636249</c:v>
                </c:pt>
                <c:pt idx="10">
                  <c:v>70059.816218181761</c:v>
                </c:pt>
                <c:pt idx="11">
                  <c:v>70469.621018181788</c:v>
                </c:pt>
                <c:pt idx="12">
                  <c:v>72108.840218181795</c:v>
                </c:pt>
                <c:pt idx="13">
                  <c:v>74157.86421818177</c:v>
                </c:pt>
                <c:pt idx="14">
                  <c:v>76206.888218181761</c:v>
                </c:pt>
                <c:pt idx="15">
                  <c:v>77026.497818181801</c:v>
                </c:pt>
              </c:numCache>
            </c:numRef>
          </c:val>
          <c:smooth val="0"/>
          <c:extLst>
            <c:ext xmlns:c16="http://schemas.microsoft.com/office/drawing/2014/chart" uri="{C3380CC4-5D6E-409C-BE32-E72D297353CC}">
              <c16:uniqueId val="{00000000-33F0-4792-BA20-F9CD96861AAF}"/>
            </c:ext>
          </c:extLst>
        </c:ser>
        <c:ser>
          <c:idx val="1"/>
          <c:order val="1"/>
          <c:tx>
            <c:strRef>
              <c:f>'List1 (2)'!$K$104</c:f>
              <c:strCache>
                <c:ptCount val="1"/>
                <c:pt idx="0">
                  <c:v>FR</c:v>
                </c:pt>
              </c:strCache>
            </c:strRef>
          </c:tx>
          <c:spPr>
            <a:ln w="28575" cap="rnd">
              <a:solidFill>
                <a:schemeClr val="accent2"/>
              </a:solidFill>
              <a:round/>
            </a:ln>
            <a:effectLst/>
          </c:spPr>
          <c:marker>
            <c:symbol val="none"/>
          </c:marker>
          <c:cat>
            <c:numRef>
              <c:f>'List1 (2)'!$I$105:$I$120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'List1 (2)'!$K$105:$K$120</c:f>
              <c:numCache>
                <c:formatCode>_-* #,##0\ _K_č_-;\-* #,##0\ _K_č_-;_-* "-"??\ _K_č_-;_-@_-</c:formatCode>
                <c:ptCount val="16"/>
                <c:pt idx="0">
                  <c:v>71728.523999999918</c:v>
                </c:pt>
                <c:pt idx="1">
                  <c:v>71728.523999999918</c:v>
                </c:pt>
                <c:pt idx="2">
                  <c:v>69554.932363636253</c:v>
                </c:pt>
                <c:pt idx="3">
                  <c:v>67381.340727272691</c:v>
                </c:pt>
                <c:pt idx="4">
                  <c:v>66656.810181818117</c:v>
                </c:pt>
                <c:pt idx="5">
                  <c:v>68105.871272727207</c:v>
                </c:pt>
                <c:pt idx="6">
                  <c:v>70279.462909090871</c:v>
                </c:pt>
                <c:pt idx="7">
                  <c:v>72453.054545454463</c:v>
                </c:pt>
                <c:pt idx="8">
                  <c:v>75036.45098181814</c:v>
                </c:pt>
                <c:pt idx="9">
                  <c:v>77619.847418181787</c:v>
                </c:pt>
                <c:pt idx="10">
                  <c:v>81652.304945454511</c:v>
                </c:pt>
                <c:pt idx="11">
                  <c:v>87133.823563636295</c:v>
                </c:pt>
                <c:pt idx="12">
                  <c:v>94569.287127272633</c:v>
                </c:pt>
                <c:pt idx="13">
                  <c:v>103139.08603636357</c:v>
                </c:pt>
                <c:pt idx="14">
                  <c:v>112433.41549090901</c:v>
                </c:pt>
                <c:pt idx="15">
                  <c:v>120498.33054545446</c:v>
                </c:pt>
              </c:numCache>
            </c:numRef>
          </c:val>
          <c:smooth val="0"/>
          <c:extLst>
            <c:ext xmlns:c16="http://schemas.microsoft.com/office/drawing/2014/chart" uri="{C3380CC4-5D6E-409C-BE32-E72D297353CC}">
              <c16:uniqueId val="{00000001-33F0-4792-BA20-F9CD96861AAF}"/>
            </c:ext>
          </c:extLst>
        </c:ser>
        <c:ser>
          <c:idx val="2"/>
          <c:order val="2"/>
          <c:tx>
            <c:strRef>
              <c:f>'List1 (2)'!$L$104</c:f>
              <c:strCache>
                <c:ptCount val="1"/>
                <c:pt idx="0">
                  <c:v>FP</c:v>
                </c:pt>
              </c:strCache>
            </c:strRef>
          </c:tx>
          <c:spPr>
            <a:ln w="28575" cap="rnd">
              <a:solidFill>
                <a:srgbClr val="C00000"/>
              </a:solidFill>
              <a:round/>
            </a:ln>
            <a:effectLst/>
          </c:spPr>
          <c:marker>
            <c:symbol val="none"/>
          </c:marker>
          <c:cat>
            <c:numRef>
              <c:f>'List1 (2)'!$I$105:$I$120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'List1 (2)'!$L$105:$L$120</c:f>
              <c:numCache>
                <c:formatCode>_-* #,##0\ _K_č_-;\-* #,##0\ _K_č_-;_-* "-"??\ _K_č_-;_-@_-</c:formatCode>
                <c:ptCount val="16"/>
                <c:pt idx="0">
                  <c:v>71728.523999999918</c:v>
                </c:pt>
                <c:pt idx="1">
                  <c:v>71728.523999999918</c:v>
                </c:pt>
                <c:pt idx="2">
                  <c:v>69554.932363636253</c:v>
                </c:pt>
                <c:pt idx="3">
                  <c:v>67381.340727272691</c:v>
                </c:pt>
                <c:pt idx="4">
                  <c:v>66656.810181818117</c:v>
                </c:pt>
                <c:pt idx="5">
                  <c:v>65207.749090909034</c:v>
                </c:pt>
                <c:pt idx="6">
                  <c:v>62309.626909090868</c:v>
                </c:pt>
                <c:pt idx="7">
                  <c:v>58686.974181818157</c:v>
                </c:pt>
                <c:pt idx="8">
                  <c:v>54749.595709090885</c:v>
                </c:pt>
                <c:pt idx="9">
                  <c:v>51536.74778181818</c:v>
                </c:pt>
                <c:pt idx="10">
                  <c:v>48323.899854545452</c:v>
                </c:pt>
                <c:pt idx="11">
                  <c:v>45111.051927272703</c:v>
                </c:pt>
                <c:pt idx="12">
                  <c:v>43127.618399999963</c:v>
                </c:pt>
                <c:pt idx="13">
                  <c:v>41553.989672727221</c:v>
                </c:pt>
                <c:pt idx="14">
                  <c:v>36357.708218181804</c:v>
                </c:pt>
                <c:pt idx="15">
                  <c:v>29932.012363636342</c:v>
                </c:pt>
              </c:numCache>
            </c:numRef>
          </c:val>
          <c:smooth val="0"/>
          <c:extLst>
            <c:ext xmlns:c16="http://schemas.microsoft.com/office/drawing/2014/chart" uri="{C3380CC4-5D6E-409C-BE32-E72D297353CC}">
              <c16:uniqueId val="{00000002-33F0-4792-BA20-F9CD96861AAF}"/>
            </c:ext>
          </c:extLst>
        </c:ser>
        <c:ser>
          <c:idx val="3"/>
          <c:order val="3"/>
          <c:tx>
            <c:strRef>
              <c:f>'List1 (2)'!$M$104</c:f>
              <c:strCache>
                <c:ptCount val="1"/>
                <c:pt idx="0">
                  <c:v>BS</c:v>
                </c:pt>
              </c:strCache>
            </c:strRef>
          </c:tx>
          <c:spPr>
            <a:ln w="28575" cap="rnd">
              <a:solidFill>
                <a:schemeClr val="accent4">
                  <a:lumMod val="60000"/>
                  <a:lumOff val="40000"/>
                </a:schemeClr>
              </a:solidFill>
              <a:round/>
            </a:ln>
            <a:effectLst/>
          </c:spPr>
          <c:marker>
            <c:symbol val="none"/>
          </c:marker>
          <c:cat>
            <c:numRef>
              <c:f>'List1 (2)'!$I$105:$I$120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'List1 (2)'!$M$105:$M$120</c:f>
              <c:numCache>
                <c:formatCode>_-* #,##0\ _K_č_-;\-* #,##0\ _K_č_-;_-* "-"??\ _K_č_-;_-@_-</c:formatCode>
                <c:ptCount val="16"/>
                <c:pt idx="0">
                  <c:v>71728.523999999918</c:v>
                </c:pt>
                <c:pt idx="1">
                  <c:v>71728.523999999918</c:v>
                </c:pt>
                <c:pt idx="2">
                  <c:v>69554.932363636253</c:v>
                </c:pt>
                <c:pt idx="3">
                  <c:v>67381.340727272691</c:v>
                </c:pt>
                <c:pt idx="4">
                  <c:v>66656.810181818117</c:v>
                </c:pt>
                <c:pt idx="5">
                  <c:v>66656.810181818117</c:v>
                </c:pt>
                <c:pt idx="6">
                  <c:v>67381.340727272691</c:v>
                </c:pt>
                <c:pt idx="7">
                  <c:v>69240.206618181794</c:v>
                </c:pt>
                <c:pt idx="8">
                  <c:v>71918.682109090863</c:v>
                </c:pt>
                <c:pt idx="9">
                  <c:v>77751.028363636273</c:v>
                </c:pt>
                <c:pt idx="10">
                  <c:v>78665.717018181764</c:v>
                </c:pt>
                <c:pt idx="11">
                  <c:v>85222.593818181747</c:v>
                </c:pt>
                <c:pt idx="12">
                  <c:v>93418.689818181811</c:v>
                </c:pt>
                <c:pt idx="13">
                  <c:v>101614.78581818179</c:v>
                </c:pt>
                <c:pt idx="14">
                  <c:v>109810.88181818179</c:v>
                </c:pt>
                <c:pt idx="15">
                  <c:v>118006.9778181818</c:v>
                </c:pt>
              </c:numCache>
            </c:numRef>
          </c:val>
          <c:smooth val="0"/>
          <c:extLst>
            <c:ext xmlns:c16="http://schemas.microsoft.com/office/drawing/2014/chart" uri="{C3380CC4-5D6E-409C-BE32-E72D297353CC}">
              <c16:uniqueId val="{00000003-33F0-4792-BA20-F9CD96861AAF}"/>
            </c:ext>
          </c:extLst>
        </c:ser>
        <c:ser>
          <c:idx val="4"/>
          <c:order val="4"/>
          <c:tx>
            <c:strRef>
              <c:f>'List1 (2)'!$N$104</c:f>
              <c:strCache>
                <c:ptCount val="1"/>
                <c:pt idx="0">
                  <c:v>BR</c:v>
                </c:pt>
              </c:strCache>
            </c:strRef>
          </c:tx>
          <c:spPr>
            <a:ln w="28575" cap="rnd">
              <a:solidFill>
                <a:srgbClr val="00B050"/>
              </a:solidFill>
              <a:round/>
            </a:ln>
            <a:effectLst/>
          </c:spPr>
          <c:marker>
            <c:symbol val="none"/>
          </c:marker>
          <c:cat>
            <c:numRef>
              <c:f>'List1 (2)'!$I$105:$I$120</c:f>
              <c:numCache>
                <c:formatCode>General</c:formatCode>
                <c:ptCount val="1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numCache>
            </c:numRef>
          </c:cat>
          <c:val>
            <c:numRef>
              <c:f>'List1 (2)'!$N$105:$N$120</c:f>
              <c:numCache>
                <c:formatCode>_-* #,##0\ _K_č_-;\-* #,##0\ _K_č_-;_-* "-"??\ _K_č_-;_-@_-</c:formatCode>
                <c:ptCount val="16"/>
                <c:pt idx="0">
                  <c:v>71728.523999999918</c:v>
                </c:pt>
                <c:pt idx="1">
                  <c:v>71728.523999999918</c:v>
                </c:pt>
                <c:pt idx="2">
                  <c:v>69554.932363636253</c:v>
                </c:pt>
                <c:pt idx="3">
                  <c:v>67381.340727272691</c:v>
                </c:pt>
                <c:pt idx="4">
                  <c:v>66656.810181818117</c:v>
                </c:pt>
                <c:pt idx="5">
                  <c:v>68105.871272727207</c:v>
                </c:pt>
                <c:pt idx="6">
                  <c:v>70279.462909090871</c:v>
                </c:pt>
                <c:pt idx="7">
                  <c:v>72862.859345454475</c:v>
                </c:pt>
                <c:pt idx="8">
                  <c:v>76265.865381818119</c:v>
                </c:pt>
                <c:pt idx="9">
                  <c:v>84996.333818181796</c:v>
                </c:pt>
                <c:pt idx="10">
                  <c:v>90258.205745454485</c:v>
                </c:pt>
                <c:pt idx="11">
                  <c:v>101886.79636363623</c:v>
                </c:pt>
                <c:pt idx="12">
                  <c:v>115879.13672727261</c:v>
                </c:pt>
                <c:pt idx="13">
                  <c:v>130596.00763636357</c:v>
                </c:pt>
                <c:pt idx="14">
                  <c:v>146037.40909090903</c:v>
                </c:pt>
                <c:pt idx="15">
                  <c:v>161478.81054545447</c:v>
                </c:pt>
              </c:numCache>
            </c:numRef>
          </c:val>
          <c:smooth val="0"/>
          <c:extLst>
            <c:ext xmlns:c16="http://schemas.microsoft.com/office/drawing/2014/chart" uri="{C3380CC4-5D6E-409C-BE32-E72D297353CC}">
              <c16:uniqueId val="{00000004-33F0-4792-BA20-F9CD96861AAF}"/>
            </c:ext>
          </c:extLst>
        </c:ser>
        <c:dLbls>
          <c:showLegendKey val="0"/>
          <c:showVal val="0"/>
          <c:showCatName val="0"/>
          <c:showSerName val="0"/>
          <c:showPercent val="0"/>
          <c:showBubbleSize val="0"/>
        </c:dLbls>
        <c:smooth val="0"/>
        <c:axId val="591420224"/>
        <c:axId val="474502160"/>
      </c:lineChart>
      <c:catAx>
        <c:axId val="59142022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74502160"/>
        <c:crosses val="autoZero"/>
        <c:auto val="1"/>
        <c:lblAlgn val="ctr"/>
        <c:lblOffset val="100"/>
        <c:noMultiLvlLbl val="0"/>
      </c:catAx>
      <c:valAx>
        <c:axId val="474502160"/>
        <c:scaling>
          <c:orientation val="minMax"/>
        </c:scaling>
        <c:delete val="0"/>
        <c:axPos val="l"/>
        <c:majorGridlines>
          <c:spPr>
            <a:ln w="9525">
              <a:solidFill>
                <a:schemeClr val="tx1">
                  <a:lumMod val="15000"/>
                  <a:lumOff val="85000"/>
                </a:schemeClr>
              </a:solidFill>
              <a:round/>
            </a:ln>
            <a:effectLst/>
          </c:spPr>
        </c:majorGridlines>
        <c:numFmt formatCode="_-* #,##0\ _K_č_-;\-* #,##0\ _K_č_-;_-* &quot;-&quot;??\ _K_č_-;_-@_-"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142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A2590847E6C84B86D3E4612DA36829" ma:contentTypeVersion="17" ma:contentTypeDescription="Vytvoří nový dokument" ma:contentTypeScope="" ma:versionID="b7661a233a4b10ac0e5eddb817edf93e">
  <xsd:schema xmlns:xsd="http://www.w3.org/2001/XMLSchema" xmlns:xs="http://www.w3.org/2001/XMLSchema" xmlns:p="http://schemas.microsoft.com/office/2006/metadata/properties" xmlns:ns2="d04bff6b-2f59-45de-b251-7c77b7b0f785" xmlns:ns3="b84ae9ba-729e-4872-ba79-7fa4905fa4c6" targetNamespace="http://schemas.microsoft.com/office/2006/metadata/properties" ma:root="true" ma:fieldsID="22a63bc661d56e52e8c8a3365f762252" ns2:_="" ns3:_="">
    <xsd:import namespace="d04bff6b-2f59-45de-b251-7c77b7b0f785"/>
    <xsd:import namespace="b84ae9ba-729e-4872-ba79-7fa4905fa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bff6b-2f59-45de-b251-7c77b7b0f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c345bda0-9b06-4e80-9832-1b39ebac7fc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4ae9ba-729e-4872-ba79-7fa4905fa4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e57927-17d7-4482-a50d-1a6ce90b1106}" ma:internalName="TaxCatchAll" ma:showField="CatchAllData" ma:web="b84ae9ba-729e-4872-ba79-7fa4905fa4c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ct:contentTypeSchema xmlns:ct="http://schemas.microsoft.com/office/2006/metadata/contentType" xmlns:ma="http://schemas.microsoft.com/office/2006/metadata/properties/metaAttributes" ct:_="" ma:_="" ma:contentTypeName="Dokument" ma:contentTypeID="0x01010031623FF7D44B9C42B0F7FF51AC13AF42" ma:contentTypeVersion="14" ma:contentTypeDescription="Vytvoří nový dokument" ma:contentTypeScope="" ma:versionID="6425ed84ada089731dbb58e2bb2839d1">
  <xsd:schema xmlns:xsd="http://www.w3.org/2001/XMLSchema" xmlns:xs="http://www.w3.org/2001/XMLSchema" xmlns:p="http://schemas.microsoft.com/office/2006/metadata/properties" xmlns:ns2="c7891124-ae77-49c3-9a48-e55f0f505907" xmlns:ns3="f247d050-159a-48d4-a32e-29d7f0b944bc" targetNamespace="http://schemas.microsoft.com/office/2006/metadata/properties" ma:root="true" ma:fieldsID="acccdd231b7ca72f8e5179e8af17b50c" ns2:_="" ns3:_="">
    <xsd:import namespace="c7891124-ae77-49c3-9a48-e55f0f505907"/>
    <xsd:import namespace="f247d050-159a-48d4-a32e-29d7f0b944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91124-ae77-49c3-9a48-e55f0f505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c6a7b290-c08e-4501-99fb-3429194704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47d050-159a-48d4-a32e-29d7f0b944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5ca1bc-eb53-46af-9d27-b299587d178d}" ma:internalName="TaxCatchAll" ma:showField="CatchAllData" ma:web="f247d050-159a-48d4-a32e-29d7f0b944b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3A2590847E6C84B86D3E4612DA36829" ma:contentTypeVersion="16" ma:contentTypeDescription="Vytvoří nový dokument" ma:contentTypeScope="" ma:versionID="d7a9768cbfeff8ddb833f10471830a6e">
  <xsd:schema xmlns:xsd="http://www.w3.org/2001/XMLSchema" xmlns:xs="http://www.w3.org/2001/XMLSchema" xmlns:p="http://schemas.microsoft.com/office/2006/metadata/properties" xmlns:ns2="d04bff6b-2f59-45de-b251-7c77b7b0f785" xmlns:ns3="b84ae9ba-729e-4872-ba79-7fa4905fa4c6" targetNamespace="http://schemas.microsoft.com/office/2006/metadata/properties" ma:root="true" ma:fieldsID="22b7c4786cc547a7283bc0bd119c3957" ns2:_="" ns3:_="">
    <xsd:import namespace="d04bff6b-2f59-45de-b251-7c77b7b0f785"/>
    <xsd:import namespace="b84ae9ba-729e-4872-ba79-7fa4905fa4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bff6b-2f59-45de-b251-7c77b7b0f7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c345bda0-9b06-4e80-9832-1b39ebac7fc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ae9ba-729e-4872-ba79-7fa4905fa4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e57927-17d7-4482-a50d-1a6ce90b1106}" ma:internalName="TaxCatchAll" ma:showField="CatchAllData" ma:web="b84ae9ba-729e-4872-ba79-7fa4905fa4c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kument" ma:contentTypeID="0x01010031623FF7D44B9C42B0F7FF51AC13AF42" ma:contentTypeVersion="13" ma:contentTypeDescription="Vytvoří nový dokument" ma:contentTypeScope="" ma:versionID="6ce42841144985ebbfd2ea89bf185fd4">
  <xsd:schema xmlns:xsd="http://www.w3.org/2001/XMLSchema" xmlns:xs="http://www.w3.org/2001/XMLSchema" xmlns:p="http://schemas.microsoft.com/office/2006/metadata/properties" xmlns:ns2="c7891124-ae77-49c3-9a48-e55f0f505907" xmlns:ns3="f247d050-159a-48d4-a32e-29d7f0b944bc" targetNamespace="http://schemas.microsoft.com/office/2006/metadata/properties" ma:root="true" ma:fieldsID="9116aa3c6a977ed7096b9e12e8bd6a5d" ns2:_="" ns3:_="">
    <xsd:import namespace="c7891124-ae77-49c3-9a48-e55f0f505907"/>
    <xsd:import namespace="f247d050-159a-48d4-a32e-29d7f0b944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91124-ae77-49c3-9a48-e55f0f505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c6a7b290-c08e-4501-99fb-3429194704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7d050-159a-48d4-a32e-29d7f0b944b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25ca1bc-eb53-46af-9d27-b299587d178d}" ma:internalName="TaxCatchAll" ma:showField="CatchAllData" ma:web="f247d050-159a-48d4-a32e-29d7f0b944b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F94F09F23D346A4B8BF53B9F487B89E3" ma:contentTypeVersion="16" ma:contentTypeDescription="Vytvoří nový dokument" ma:contentTypeScope="" ma:versionID="33faa53daa4ac14879b6dcc99494ece6">
  <xsd:schema xmlns:xsd="http://www.w3.org/2001/XMLSchema" xmlns:xs="http://www.w3.org/2001/XMLSchema" xmlns:p="http://schemas.microsoft.com/office/2006/metadata/properties" xmlns:ns3="37d0884e-dcf1-4e41-85ec-795d33246dd8" xmlns:ns4="2984b91b-bfec-4271-814e-4c39a80250e5" targetNamespace="http://schemas.microsoft.com/office/2006/metadata/properties" ma:root="true" ma:fieldsID="f96fe8c4781f329ba3a794848eae690b" ns3:_="" ns4:_="">
    <xsd:import namespace="37d0884e-dcf1-4e41-85ec-795d33246dd8"/>
    <xsd:import namespace="2984b91b-bfec-4271-814e-4c39a80250e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0884e-dcf1-4e41-85ec-795d3324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84b91b-bfec-4271-814e-4c39a80250e5"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kument" ma:contentTypeID="0x010100FEB0E43CA3CCEC4585B2D572FD00A8C4" ma:contentTypeVersion="5" ma:contentTypeDescription="Vytvoří nový dokument" ma:contentTypeScope="" ma:versionID="095a115e750ee6c393aa6dc6da51e129">
  <xsd:schema xmlns:xsd="http://www.w3.org/2001/XMLSchema" xmlns:xs="http://www.w3.org/2001/XMLSchema" xmlns:p="http://schemas.microsoft.com/office/2006/metadata/properties" xmlns:ns2="a468a484-db24-4694-a87e-2e539042303e" xmlns:ns3="0051622f-7a12-4447-8fbb-4d1c8dbbebb9" targetNamespace="http://schemas.microsoft.com/office/2006/metadata/properties" ma:root="true" ma:fieldsID="4bcee453541282c0365c1d4f09b50cf0" ns2:_="" ns3:_="">
    <xsd:import namespace="a468a484-db24-4694-a87e-2e539042303e"/>
    <xsd:import namespace="0051622f-7a12-4447-8fbb-4d1c8dbbeb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8a484-db24-4694-a87e-2e539042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1622f-7a12-4447-8fbb-4d1c8dbbebb9"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kument" ma:contentTypeID="0x01010004FBF3F94A871145AB75DFE0338CB7D7" ma:contentTypeVersion="2" ma:contentTypeDescription="Vytvoří nový dokument" ma:contentTypeScope="" ma:versionID="829017ba8c02a03a5bc64bfe96af82d5">
  <xsd:schema xmlns:xsd="http://www.w3.org/2001/XMLSchema" xmlns:xs="http://www.w3.org/2001/XMLSchema" xmlns:p="http://schemas.microsoft.com/office/2006/metadata/properties" xmlns:ns2="9e84f969-81c3-4f57-aabc-23e58219cc99" targetNamespace="http://schemas.microsoft.com/office/2006/metadata/properties" ma:root="true" ma:fieldsID="0e4f165bc02ccd6f0c61c7f97d820fc6" ns2:_="">
    <xsd:import namespace="9e84f969-81c3-4f57-aabc-23e58219cc9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4f969-81c3-4f57-aabc-23e58219c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303C3-DBD0-49F9-8636-34FB2FA75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bff6b-2f59-45de-b251-7c77b7b0f785"/>
    <ds:schemaRef ds:uri="b84ae9ba-729e-4872-ba79-7fa4905fa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C61A213-48B5-44C8-A80F-4254D5DB7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91124-ae77-49c3-9a48-e55f0f505907"/>
    <ds:schemaRef ds:uri="f247d050-159a-48d4-a32e-29d7f0b94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59CB2-7EA6-48BF-8D66-C811433319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EB55BA-3FB5-4A18-87A3-EC027104B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bff6b-2f59-45de-b251-7c77b7b0f785"/>
    <ds:schemaRef ds:uri="b84ae9ba-729e-4872-ba79-7fa4905fa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851B6B-9DAA-4917-ADFF-25E6BA4B3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91124-ae77-49c3-9a48-e55f0f505907"/>
    <ds:schemaRef ds:uri="f247d050-159a-48d4-a32e-29d7f0b94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ADBEF5-8EFD-4E4B-A535-7E2FD3711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0884e-dcf1-4e41-85ec-795d33246dd8"/>
    <ds:schemaRef ds:uri="2984b91b-bfec-4271-814e-4c39a8025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8524605-A6CB-404A-9662-2B9B9FB5C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8a484-db24-4694-a87e-2e539042303e"/>
    <ds:schemaRef ds:uri="0051622f-7a12-4447-8fbb-4d1c8dbbe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DAE3D51F-CB44-4B2F-9AEF-65E447284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4f969-81c3-4f57-aabc-23e58219c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077B9D69-28CF-4061-8FD7-EED04A85A45D}">
  <ds:schemaRefs>
    <ds:schemaRef ds:uri="http://schemas.microsoft.com/sharepoint/v3/contenttype/forms"/>
  </ds:schemaRefs>
</ds:datastoreItem>
</file>

<file path=customXml/itemProps9.xml><?xml version="1.0" encoding="utf-8"?>
<ds:datastoreItem xmlns:ds="http://schemas.openxmlformats.org/officeDocument/2006/customXml" ds:itemID="{A80B3BD8-9873-4135-B4AC-A51AE55D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73</Pages>
  <Words>20383</Words>
  <Characters>120392</Characters>
  <Application>Microsoft Office Word</Application>
  <DocSecurity>0</DocSecurity>
  <Lines>1003</Lines>
  <Paragraphs>280</Paragraphs>
  <ScaleCrop>false</ScaleCrop>
  <HeadingPairs>
    <vt:vector size="2" baseType="variant">
      <vt:variant>
        <vt:lpstr>Název</vt:lpstr>
      </vt:variant>
      <vt:variant>
        <vt:i4>1</vt:i4>
      </vt:variant>
    </vt:vector>
  </HeadingPairs>
  <TitlesOfParts>
    <vt:vector size="1" baseType="lpstr">
      <vt:lpstr>Aktualizace NAP CM</vt:lpstr>
    </vt:vector>
  </TitlesOfParts>
  <Company>Euroenergy</Company>
  <LinksUpToDate>false</LinksUpToDate>
  <CharactersWithSpaces>140495</CharactersWithSpaces>
  <SharedDoc>false</SharedDoc>
  <HLinks>
    <vt:vector size="72" baseType="variant">
      <vt:variant>
        <vt:i4>1900600</vt:i4>
      </vt:variant>
      <vt:variant>
        <vt:i4>86</vt:i4>
      </vt:variant>
      <vt:variant>
        <vt:i4>0</vt:i4>
      </vt:variant>
      <vt:variant>
        <vt:i4>5</vt:i4>
      </vt:variant>
      <vt:variant>
        <vt:lpwstr/>
      </vt:variant>
      <vt:variant>
        <vt:lpwstr>_Toc266955900</vt:lpwstr>
      </vt:variant>
      <vt:variant>
        <vt:i4>1310777</vt:i4>
      </vt:variant>
      <vt:variant>
        <vt:i4>77</vt:i4>
      </vt:variant>
      <vt:variant>
        <vt:i4>0</vt:i4>
      </vt:variant>
      <vt:variant>
        <vt:i4>5</vt:i4>
      </vt:variant>
      <vt:variant>
        <vt:lpwstr/>
      </vt:variant>
      <vt:variant>
        <vt:lpwstr>_Toc266955896</vt:lpwstr>
      </vt:variant>
      <vt:variant>
        <vt:i4>1310777</vt:i4>
      </vt:variant>
      <vt:variant>
        <vt:i4>68</vt:i4>
      </vt:variant>
      <vt:variant>
        <vt:i4>0</vt:i4>
      </vt:variant>
      <vt:variant>
        <vt:i4>5</vt:i4>
      </vt:variant>
      <vt:variant>
        <vt:lpwstr/>
      </vt:variant>
      <vt:variant>
        <vt:lpwstr>_Toc266955892</vt:lpwstr>
      </vt:variant>
      <vt:variant>
        <vt:i4>1376313</vt:i4>
      </vt:variant>
      <vt:variant>
        <vt:i4>59</vt:i4>
      </vt:variant>
      <vt:variant>
        <vt:i4>0</vt:i4>
      </vt:variant>
      <vt:variant>
        <vt:i4>5</vt:i4>
      </vt:variant>
      <vt:variant>
        <vt:lpwstr/>
      </vt:variant>
      <vt:variant>
        <vt:lpwstr>_Toc266955883</vt:lpwstr>
      </vt:variant>
      <vt:variant>
        <vt:i4>1376313</vt:i4>
      </vt:variant>
      <vt:variant>
        <vt:i4>53</vt:i4>
      </vt:variant>
      <vt:variant>
        <vt:i4>0</vt:i4>
      </vt:variant>
      <vt:variant>
        <vt:i4>5</vt:i4>
      </vt:variant>
      <vt:variant>
        <vt:lpwstr/>
      </vt:variant>
      <vt:variant>
        <vt:lpwstr>_Toc266955882</vt:lpwstr>
      </vt:variant>
      <vt:variant>
        <vt:i4>1376313</vt:i4>
      </vt:variant>
      <vt:variant>
        <vt:i4>47</vt:i4>
      </vt:variant>
      <vt:variant>
        <vt:i4>0</vt:i4>
      </vt:variant>
      <vt:variant>
        <vt:i4>5</vt:i4>
      </vt:variant>
      <vt:variant>
        <vt:lpwstr/>
      </vt:variant>
      <vt:variant>
        <vt:lpwstr>_Toc266955881</vt:lpwstr>
      </vt:variant>
      <vt:variant>
        <vt:i4>1376313</vt:i4>
      </vt:variant>
      <vt:variant>
        <vt:i4>41</vt:i4>
      </vt:variant>
      <vt:variant>
        <vt:i4>0</vt:i4>
      </vt:variant>
      <vt:variant>
        <vt:i4>5</vt:i4>
      </vt:variant>
      <vt:variant>
        <vt:lpwstr/>
      </vt:variant>
      <vt:variant>
        <vt:lpwstr>_Toc266955880</vt:lpwstr>
      </vt:variant>
      <vt:variant>
        <vt:i4>1703993</vt:i4>
      </vt:variant>
      <vt:variant>
        <vt:i4>35</vt:i4>
      </vt:variant>
      <vt:variant>
        <vt:i4>0</vt:i4>
      </vt:variant>
      <vt:variant>
        <vt:i4>5</vt:i4>
      </vt:variant>
      <vt:variant>
        <vt:lpwstr/>
      </vt:variant>
      <vt:variant>
        <vt:lpwstr>_Toc266955879</vt:lpwstr>
      </vt:variant>
      <vt:variant>
        <vt:i4>1703993</vt:i4>
      </vt:variant>
      <vt:variant>
        <vt:i4>29</vt:i4>
      </vt:variant>
      <vt:variant>
        <vt:i4>0</vt:i4>
      </vt:variant>
      <vt:variant>
        <vt:i4>5</vt:i4>
      </vt:variant>
      <vt:variant>
        <vt:lpwstr/>
      </vt:variant>
      <vt:variant>
        <vt:lpwstr>_Toc266955878</vt:lpwstr>
      </vt:variant>
      <vt:variant>
        <vt:i4>1703993</vt:i4>
      </vt:variant>
      <vt:variant>
        <vt:i4>23</vt:i4>
      </vt:variant>
      <vt:variant>
        <vt:i4>0</vt:i4>
      </vt:variant>
      <vt:variant>
        <vt:i4>5</vt:i4>
      </vt:variant>
      <vt:variant>
        <vt:lpwstr/>
      </vt:variant>
      <vt:variant>
        <vt:lpwstr>_Toc266955877</vt:lpwstr>
      </vt:variant>
      <vt:variant>
        <vt:i4>1703993</vt:i4>
      </vt:variant>
      <vt:variant>
        <vt:i4>17</vt:i4>
      </vt:variant>
      <vt:variant>
        <vt:i4>0</vt:i4>
      </vt:variant>
      <vt:variant>
        <vt:i4>5</vt:i4>
      </vt:variant>
      <vt:variant>
        <vt:lpwstr/>
      </vt:variant>
      <vt:variant>
        <vt:lpwstr>_Toc266955876</vt:lpwstr>
      </vt:variant>
      <vt:variant>
        <vt:i4>1703993</vt:i4>
      </vt:variant>
      <vt:variant>
        <vt:i4>11</vt:i4>
      </vt:variant>
      <vt:variant>
        <vt:i4>0</vt:i4>
      </vt:variant>
      <vt:variant>
        <vt:i4>5</vt:i4>
      </vt:variant>
      <vt:variant>
        <vt:lpwstr/>
      </vt:variant>
      <vt:variant>
        <vt:lpwstr>_Toc266955875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Aktualizace NAP CM</dc:title>
  <dc:subject/>
  <dc:creator>Autor</dc:creator>
  <cp:keywords/>
  <dc:description/>
  <cp:lastModifiedBy>Konejlová Tereza</cp:lastModifiedBy>
  <cp:revision>5</cp:revision>
  <cp:lastPrinted>2024-03-22T07:59:00Z</cp:lastPrinted>
  <dcterms:created xsi:type="dcterms:W3CDTF">2024-09-27T09:18:00Z</dcterms:created>
  <dcterms:modified xsi:type="dcterms:W3CDTF">2024-10-10T07:33:00Z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0x01010004FBF3F94A871145AB75DFE0338CB7D7</vt:lpwstr>
  </property>
  <property fmtid="{D5CDD505-2E9C-101B-9397-08002B2CF9AE}" pid="3" name="MediaServiceImageTags">
    <vt:lpwstr/>
  </property>
  <property fmtid="{D5CDD505-2E9C-101B-9397-08002B2CF9AE}" pid="4" name="MSIP_Label_a6b84135-ab90-4b03-a415-784f8f15a7f1_Enabled">
    <vt:lpwstr>true</vt:lpwstr>
  </property>
  <property fmtid="{D5CDD505-2E9C-101B-9397-08002B2CF9AE}" pid="5" name="MSIP_Label_a6b84135-ab90-4b03-a415-784f8f15a7f1_SetDate">
    <vt:lpwstr>2023-11-21T15:50:33Z</vt:lpwstr>
  </property>
  <property fmtid="{D5CDD505-2E9C-101B-9397-08002B2CF9AE}" pid="6" name="MSIP_Label_a6b84135-ab90-4b03-a415-784f8f15a7f1_Method">
    <vt:lpwstr>Privileged</vt:lpwstr>
  </property>
  <property fmtid="{D5CDD505-2E9C-101B-9397-08002B2CF9AE}" pid="7" name="MSIP_Label_a6b84135-ab90-4b03-a415-784f8f15a7f1_Name">
    <vt:lpwstr>a6b84135-ab90-4b03-a415-784f8f15a7f1</vt:lpwstr>
  </property>
  <property fmtid="{D5CDD505-2E9C-101B-9397-08002B2CF9AE}" pid="8" name="MSIP_Label_a6b84135-ab90-4b03-a415-784f8f15a7f1_SiteId">
    <vt:lpwstr>2882be50-2012-4d88-ac86-544124e120c8</vt:lpwstr>
  </property>
  <property fmtid="{D5CDD505-2E9C-101B-9397-08002B2CF9AE}" pid="9" name="MSIP_Label_a6b84135-ab90-4b03-a415-784f8f15a7f1_ActionId">
    <vt:lpwstr>6d4dcfe4-4223-4eaa-a02b-4bfaff2a5312</vt:lpwstr>
  </property>
  <property fmtid="{D5CDD505-2E9C-101B-9397-08002B2CF9AE}" pid="10" name="MSIP_Label_a6b84135-ab90-4b03-a415-784f8f15a7f1_ContentBits">
    <vt:lpwstr>0</vt:lpwstr>
  </property>
  <property fmtid="{D5CDD505-2E9C-101B-9397-08002B2CF9AE}" pid="11" name="MSIP_Label_04802d90-fa5d-45d4-90c5-99c9f08cc860_Enabled">
    <vt:lpwstr>true</vt:lpwstr>
  </property>
  <property fmtid="{D5CDD505-2E9C-101B-9397-08002B2CF9AE}" pid="12" name="MSIP_Label_04802d90-fa5d-45d4-90c5-99c9f08cc860_SetDate">
    <vt:lpwstr>2023-11-21T16:29:03Z</vt:lpwstr>
  </property>
  <property fmtid="{D5CDD505-2E9C-101B-9397-08002B2CF9AE}" pid="13" name="MSIP_Label_04802d90-fa5d-45d4-90c5-99c9f08cc860_Method">
    <vt:lpwstr>Privileged</vt:lpwstr>
  </property>
  <property fmtid="{D5CDD505-2E9C-101B-9397-08002B2CF9AE}" pid="14" name="MSIP_Label_04802d90-fa5d-45d4-90c5-99c9f08cc860_Name">
    <vt:lpwstr>L00097</vt:lpwstr>
  </property>
  <property fmtid="{D5CDD505-2E9C-101B-9397-08002B2CF9AE}" pid="15" name="MSIP_Label_04802d90-fa5d-45d4-90c5-99c9f08cc860_SiteId">
    <vt:lpwstr>b233f9e1-5599-4693-9cef-38858fe25406</vt:lpwstr>
  </property>
  <property fmtid="{D5CDD505-2E9C-101B-9397-08002B2CF9AE}" pid="16" name="MSIP_Label_04802d90-fa5d-45d4-90c5-99c9f08cc860_ActionId">
    <vt:lpwstr>2a02ea7a-954a-453e-9d0a-6e3c810cab68</vt:lpwstr>
  </property>
  <property fmtid="{D5CDD505-2E9C-101B-9397-08002B2CF9AE}" pid="17" name="MSIP_Label_04802d90-fa5d-45d4-90c5-99c9f08cc860_ContentBits">
    <vt:lpwstr>0</vt:lpwstr>
  </property>
  <property fmtid="{D5CDD505-2E9C-101B-9397-08002B2CF9AE}" pid="18" name="DocumentClasification">
    <vt:lpwstr>Veřejné</vt:lpwstr>
  </property>
  <property fmtid="{D5CDD505-2E9C-101B-9397-08002B2CF9AE}" pid="19" name="CEZ_DLP">
    <vt:lpwstr>CEZ:CEZ-DOS:D</vt:lpwstr>
  </property>
  <property fmtid="{D5CDD505-2E9C-101B-9397-08002B2CF9AE}" pid="20" name="CEZ_MIPLabelName">
    <vt:lpwstr>Public-CEZ-DOS</vt:lpwstr>
  </property>
  <property fmtid="{D5CDD505-2E9C-101B-9397-08002B2CF9AE}" pid="21" name="GrammarlyDocumentId">
    <vt:lpwstr>52bdc5db0f8b01e3d6458465c0bebe4047ef4ca5f2b4b2548b28d1cae41c8945</vt:lpwstr>
  </property>
  <property fmtid="{D5CDD505-2E9C-101B-9397-08002B2CF9AE}" pid="22" name="AnonymizaceNavrh">
    <vt:lpwstr/>
  </property>
  <property fmtid="{D5CDD505-2E9C-101B-9397-08002B2CF9AE}" pid="23" name="Cislo_PostaOdesPisemnostDokumentVerze_PostaOdesPisemnost">
    <vt:lpwstr>VÝTISK Č. ...</vt:lpwstr>
  </property>
  <property fmtid="{D5CDD505-2E9C-101B-9397-08002B2CF9AE}" pid="24" name="CJ">
    <vt:lpwstr>MZP/2024/840/139</vt:lpwstr>
  </property>
  <property fmtid="{D5CDD505-2E9C-101B-9397-08002B2CF9AE}" pid="25" name="CJ_PostaDoruc_PisemnostOdpovedNa_Pisemnost">
    <vt:lpwstr>XXX-XXX-XXX</vt:lpwstr>
  </property>
  <property fmtid="{D5CDD505-2E9C-101B-9397-08002B2CF9AE}" pid="26" name="CJ_Spis_Pisemnost">
    <vt:lpwstr>MZP/2024/840/139</vt:lpwstr>
  </property>
  <property fmtid="{D5CDD505-2E9C-101B-9397-08002B2CF9AE}" pid="27" name="Contact_PostaOdes">
    <vt:lpwstr>{NameAddress_Contact_PostaOdes}
{FullAddress_Contact_PostaOdes}</vt:lpwstr>
  </property>
  <property fmtid="{D5CDD505-2E9C-101B-9397-08002B2CF9AE}" pid="28" name="Contact_PostaOdes_All">
    <vt:lpwstr>ROZDĚLOVNÍK...</vt:lpwstr>
  </property>
  <property fmtid="{D5CDD505-2E9C-101B-9397-08002B2CF9AE}" pid="29" name="DatumNaroz">
    <vt:lpwstr/>
  </property>
  <property fmtid="{D5CDD505-2E9C-101B-9397-08002B2CF9AE}" pid="30" name="DatumPlatnosti_PisemnostTypZpristupneniInformaciZOSZ_Pisemnost">
    <vt:lpwstr>ZOSZ_DatumPlatnosti</vt:lpwstr>
  </property>
  <property fmtid="{D5CDD505-2E9C-101B-9397-08002B2CF9AE}" pid="31" name="DatumPoriz_Pisemnost">
    <vt:lpwstr>24.4.2024</vt:lpwstr>
  </property>
  <property fmtid="{D5CDD505-2E9C-101B-9397-08002B2CF9AE}" pid="32" name="DisplayName_CisloObalky_PostaOdes">
    <vt:lpwstr>ČÍSLO OBÁLKY</vt:lpwstr>
  </property>
  <property fmtid="{D5CDD505-2E9C-101B-9397-08002B2CF9AE}" pid="33" name="DisplayName_CJCol">
    <vt:lpwstr>&lt;TABLE&gt;&lt;TR&gt;&lt;TD&gt;Č.j.:&lt;/TD&gt;&lt;TD&gt;MZP/2024/840/139&lt;/TD&gt;&lt;/TR&gt;&lt;TR&gt;&lt;TD&gt;&lt;/TD&gt;&lt;TD&gt;&lt;/TD&gt;&lt;/TR&gt;&lt;/TABLE&gt;</vt:lpwstr>
  </property>
  <property fmtid="{D5CDD505-2E9C-101B-9397-08002B2CF9AE}" pid="34" name="DisplayName_SlozkaStupenUtajeniCollection_Slozka_Pisemnost">
    <vt:lpwstr/>
  </property>
  <property fmtid="{D5CDD505-2E9C-101B-9397-08002B2CF9AE}" pid="35" name="DisplayName_SpisovyUzel_PoziceZodpo_Pisemnost">
    <vt:lpwstr>Odbor politiky životního prostředí a udržitelného rozvoje 840</vt:lpwstr>
  </property>
  <property fmtid="{D5CDD505-2E9C-101B-9397-08002B2CF9AE}" pid="36" name="DisplayName_UserPoriz_Pisemnost">
    <vt:lpwstr>Mgr. Dominica Tchaou</vt:lpwstr>
  </property>
  <property fmtid="{D5CDD505-2E9C-101B-9397-08002B2CF9AE}" pid="37" name="DuvodZmeny_SlozkaStupenUtajeniCollection_Slozka_Pisemnost">
    <vt:lpwstr/>
  </property>
  <property fmtid="{D5CDD505-2E9C-101B-9397-08002B2CF9AE}" pid="38" name="EC_Pisemnost">
    <vt:lpwstr>ENV/2024/266540</vt:lpwstr>
  </property>
  <property fmtid="{D5CDD505-2E9C-101B-9397-08002B2CF9AE}" pid="39" name="Key_BarCode_Pisemnost">
    <vt:lpwstr>*B002550715*</vt:lpwstr>
  </property>
  <property fmtid="{D5CDD505-2E9C-101B-9397-08002B2CF9AE}" pid="40" name="Key_BarCode_PostaOdes">
    <vt:lpwstr>11101001011</vt:lpwstr>
  </property>
  <property fmtid="{D5CDD505-2E9C-101B-9397-08002B2CF9AE}" pid="41" name="KRukam">
    <vt:lpwstr>{KRukam}</vt:lpwstr>
  </property>
  <property fmtid="{D5CDD505-2E9C-101B-9397-08002B2CF9AE}" pid="42" name="NameAddress_Contact_SpisovyUzel_PoziceZodpo_Pisemnost">
    <vt:lpwstr>ADRESÁT SU...</vt:lpwstr>
  </property>
  <property fmtid="{D5CDD505-2E9C-101B-9397-08002B2CF9AE}" pid="43" name="NamePostalAddress_Contact_PostaOdes">
    <vt:lpwstr>{NameAddress_Contact_PostaOdes}
{PostalAddress_Contact_PostaOdes}</vt:lpwstr>
  </property>
  <property fmtid="{D5CDD505-2E9C-101B-9397-08002B2CF9AE}" pid="44" name="Odkaz">
    <vt:lpwstr>ODKAZ</vt:lpwstr>
  </property>
  <property fmtid="{D5CDD505-2E9C-101B-9397-08002B2CF9AE}" pid="45" name="Password_PisemnostTypZpristupneniInformaciZOSZ_Pisemnost">
    <vt:lpwstr>ZOSZ_Password</vt:lpwstr>
  </property>
  <property fmtid="{D5CDD505-2E9C-101B-9397-08002B2CF9AE}" pid="46" name="PocetListuDokumentu_Pisemnost">
    <vt:lpwstr>2</vt:lpwstr>
  </property>
  <property fmtid="{D5CDD505-2E9C-101B-9397-08002B2CF9AE}" pid="47" name="PocetListu_Pisemnost">
    <vt:lpwstr>2</vt:lpwstr>
  </property>
  <property fmtid="{D5CDD505-2E9C-101B-9397-08002B2CF9AE}" pid="48" name="PocetPriloh_Pisemnost">
    <vt:lpwstr>POČET PŘÍLOH</vt:lpwstr>
  </property>
  <property fmtid="{D5CDD505-2E9C-101B-9397-08002B2CF9AE}" pid="49" name="Podpis">
    <vt:lpwstr/>
  </property>
  <property fmtid="{D5CDD505-2E9C-101B-9397-08002B2CF9AE}" pid="50" name="PoleVlastnost">
    <vt:lpwstr/>
  </property>
  <property fmtid="{D5CDD505-2E9C-101B-9397-08002B2CF9AE}" pid="51" name="PostalAddress_Contact_SpisovyUzel_PoziceZodpo_Pisemnost">
    <vt:lpwstr>ADRESA SU...</vt:lpwstr>
  </property>
  <property fmtid="{D5CDD505-2E9C-101B-9397-08002B2CF9AE}" pid="52" name="QREC_Pisemnost">
    <vt:lpwstr>ENV/2024/266540</vt:lpwstr>
  </property>
  <property fmtid="{D5CDD505-2E9C-101B-9397-08002B2CF9AE}" pid="53" name="RC">
    <vt:lpwstr/>
  </property>
  <property fmtid="{D5CDD505-2E9C-101B-9397-08002B2CF9AE}" pid="54" name="SkartacniZnakLhuta_PisemnostZnak">
    <vt:lpwstr>A/10</vt:lpwstr>
  </property>
  <property fmtid="{D5CDD505-2E9C-101B-9397-08002B2CF9AE}" pid="55" name="SmlouvaCislo">
    <vt:lpwstr>ČÍSLO SMLOUVY</vt:lpwstr>
  </property>
  <property fmtid="{D5CDD505-2E9C-101B-9397-08002B2CF9AE}" pid="56" name="SZ_Spis_Pisemnost">
    <vt:lpwstr>ZN/MZP/2024/840/36</vt:lpwstr>
  </property>
  <property fmtid="{D5CDD505-2E9C-101B-9397-08002B2CF9AE}" pid="57" name="TEST">
    <vt:lpwstr>testovací pole</vt:lpwstr>
  </property>
  <property fmtid="{D5CDD505-2E9C-101B-9397-08002B2CF9AE}" pid="58" name="TypPrilohy_Pisemnost">
    <vt:lpwstr>TYP PŘÍLOHY</vt:lpwstr>
  </property>
  <property fmtid="{D5CDD505-2E9C-101B-9397-08002B2CF9AE}" pid="59" name="UserName_PisemnostTypZpristupneniInformaciZOSZ_Pisemnost">
    <vt:lpwstr>ZOSZ_UserName</vt:lpwstr>
  </property>
  <property fmtid="{D5CDD505-2E9C-101B-9397-08002B2CF9AE}" pid="60" name="Vec_Pisemnost">
    <vt:lpwstr>Aktualizace Národního akčního plánu čisté mobility 2024</vt:lpwstr>
  </property>
  <property fmtid="{D5CDD505-2E9C-101B-9397-08002B2CF9AE}" pid="61" name="Zkratka_SpisovyUzel_PoziceZodpo_Pisemnost">
    <vt:lpwstr>840</vt:lpwstr>
  </property>
</Properties>
</file>